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2" w:rightChars="1" w:firstLine="723" w:firstLineChars="200"/>
        <w:jc w:val="center"/>
        <w:rPr>
          <w:rFonts w:ascii="方正小标宋简体" w:hAnsi="宋体" w:eastAsia="方正小标宋简体" w:cs="Times New Roman"/>
          <w:b/>
          <w:sz w:val="36"/>
          <w:szCs w:val="36"/>
        </w:rPr>
      </w:pPr>
      <w:r>
        <w:rPr>
          <w:rFonts w:hint="eastAsia" w:ascii="方正小标宋简体" w:hAnsi="宋体" w:eastAsia="方正小标宋简体" w:cs="Times New Roman"/>
          <w:b/>
          <w:sz w:val="36"/>
          <w:szCs w:val="36"/>
        </w:rPr>
        <w:t>上海建桥学院2023年度优秀教学奖、优秀教学管理奖</w:t>
      </w:r>
    </w:p>
    <w:p>
      <w:pPr>
        <w:spacing w:line="520" w:lineRule="exact"/>
        <w:ind w:right="2" w:rightChars="1" w:firstLine="723" w:firstLineChars="200"/>
        <w:jc w:val="center"/>
        <w:rPr>
          <w:rFonts w:ascii="方正小标宋简体" w:hAnsi="宋体" w:eastAsia="方正小标宋简体" w:cs="Times New Roman"/>
          <w:b/>
          <w:sz w:val="36"/>
          <w:szCs w:val="36"/>
        </w:rPr>
      </w:pPr>
      <w:r>
        <w:rPr>
          <w:rFonts w:hint="eastAsia" w:ascii="方正小标宋简体" w:hAnsi="宋体" w:eastAsia="方正小标宋简体" w:cs="Times New Roman"/>
          <w:b/>
          <w:sz w:val="36"/>
          <w:szCs w:val="36"/>
        </w:rPr>
        <w:t>评选工作通知</w:t>
      </w:r>
    </w:p>
    <w:p>
      <w:pPr>
        <w:spacing w:line="460" w:lineRule="exact"/>
        <w:ind w:firstLine="723" w:firstLineChars="200"/>
        <w:jc w:val="center"/>
        <w:rPr>
          <w:rFonts w:ascii="方正小标宋简体" w:hAnsi="宋体" w:eastAsia="方正小标宋简体" w:cs="宋体"/>
          <w:b/>
          <w:bCs/>
          <w:sz w:val="36"/>
          <w:szCs w:val="36"/>
        </w:rPr>
      </w:pP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为进一步加强教师队伍和教学管理队伍建设，促进学校教学质量的提高和教学管理水平的提升，增强广大教职工从事教学及教学管理工作的荣誉感、责任感和使命感，充分发挥教师、教学管理人员在一线教学和教学管理过程中的重要作用，根据我校《优秀教学奖评选管理办法》（SJQU-WI-RS-020）等文件规定，学校决定开展2023年度优秀教学奖、优秀教学管理奖评选工作，具体通知如下：</w:t>
      </w:r>
    </w:p>
    <w:p>
      <w:pPr>
        <w:widowControl/>
        <w:numPr>
          <w:ilvl w:val="0"/>
          <w:numId w:val="1"/>
        </w:numPr>
        <w:spacing w:line="52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评选条件</w:t>
      </w:r>
    </w:p>
    <w:p>
      <w:pPr>
        <w:widowControl/>
        <w:spacing w:line="52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（一）优秀教学奖</w:t>
      </w:r>
    </w:p>
    <w:p>
      <w:pPr>
        <w:widowControl/>
        <w:spacing w:line="520" w:lineRule="exact"/>
        <w:ind w:firstLine="480" w:firstLineChars="200"/>
        <w:rPr>
          <w:rFonts w:ascii="仿宋" w:hAnsi="仿宋" w:eastAsia="仿宋" w:cs="仿宋"/>
          <w:b/>
          <w:bCs/>
          <w:color w:val="000000"/>
          <w:kern w:val="0"/>
          <w:sz w:val="24"/>
          <w:szCs w:val="24"/>
        </w:rPr>
      </w:pPr>
      <w:r>
        <w:rPr>
          <w:rFonts w:hint="eastAsia" w:ascii="仿宋" w:hAnsi="仿宋" w:eastAsia="仿宋" w:cs="仿宋"/>
          <w:color w:val="000000"/>
          <w:kern w:val="0"/>
          <w:sz w:val="24"/>
          <w:szCs w:val="24"/>
        </w:rPr>
        <w:t>1.本年度考核等第为优秀。</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忠诚党的教育事业，热爱教学事业，恪守工作纪律和职业道德，认真履行职责，有强烈的事业心和责任感，受到广泛好评；在教书育人、教学规范、教学研究、教学服务、荣誉奖项等方面取得成绩。具体参考优秀教学奖评选标准（见附件2）。</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3.无教学事故、科研道德失范等行为。</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4.教师在本年度有下列成就者，</w:t>
      </w:r>
      <w:r>
        <w:rPr>
          <w:rFonts w:hint="eastAsia" w:ascii="仿宋" w:hAnsi="仿宋" w:eastAsia="仿宋" w:cs="仿宋"/>
          <w:bCs/>
          <w:color w:val="000000"/>
          <w:kern w:val="0"/>
          <w:sz w:val="24"/>
          <w:szCs w:val="24"/>
        </w:rPr>
        <w:t>直接</w:t>
      </w:r>
      <w:r>
        <w:rPr>
          <w:rFonts w:hint="eastAsia" w:ascii="仿宋" w:hAnsi="仿宋" w:eastAsia="仿宋" w:cs="仿宋"/>
          <w:color w:val="000000"/>
          <w:kern w:val="0"/>
          <w:sz w:val="24"/>
          <w:szCs w:val="24"/>
        </w:rPr>
        <w:t>授予优秀教学奖：</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（1）在“上海高校青年教师教学竞赛”、“上海市民办高校教师教学技能大赛”、“上海市高校教师教学创新大赛”中获得三等奖及以上奖励的教师；</w:t>
      </w:r>
    </w:p>
    <w:p>
      <w:pPr>
        <w:widowControl/>
        <w:spacing w:line="360" w:lineRule="auto"/>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（2）在成功申报市级、国家级一流本科专业和一流本科课程中作出突出贡献的教师；</w:t>
      </w:r>
    </w:p>
    <w:p>
      <w:pPr>
        <w:spacing w:line="360" w:lineRule="auto"/>
        <w:ind w:firstLine="480" w:firstLineChars="200"/>
        <w:rPr>
          <w:rFonts w:ascii="仿宋" w:hAnsi="仿宋" w:eastAsia="仿宋" w:cs="仿宋"/>
          <w:sz w:val="24"/>
          <w:szCs w:val="24"/>
        </w:rPr>
      </w:pPr>
      <w:r>
        <w:rPr>
          <w:rFonts w:hint="eastAsia" w:ascii="仿宋" w:hAnsi="仿宋" w:eastAsia="仿宋" w:cs="仿宋"/>
          <w:color w:val="000000"/>
          <w:kern w:val="0"/>
          <w:sz w:val="24"/>
          <w:szCs w:val="24"/>
        </w:rPr>
        <w:t>（3）</w:t>
      </w:r>
      <w:r>
        <w:rPr>
          <w:rFonts w:hint="eastAsia" w:ascii="仿宋" w:hAnsi="仿宋" w:eastAsia="仿宋" w:cs="仿宋"/>
          <w:sz w:val="24"/>
          <w:szCs w:val="24"/>
        </w:rPr>
        <w:t>作为第一指导教师指导学生在我校重点支持的A类竞赛中获国家级一等（金奖）、二等（银奖）、三等（铜奖）奖或作为第一指导教师指导学生在我校重点支持的B类竞赛中获一等奖的教师。</w:t>
      </w:r>
    </w:p>
    <w:p>
      <w:pPr>
        <w:spacing w:line="360" w:lineRule="auto"/>
        <w:ind w:firstLine="480" w:firstLineChars="200"/>
        <w:rPr>
          <w:rFonts w:ascii="仿宋" w:hAnsi="仿宋" w:eastAsia="仿宋" w:cs="仿宋"/>
          <w:color w:val="000000"/>
          <w:kern w:val="0"/>
          <w:sz w:val="24"/>
          <w:szCs w:val="24"/>
        </w:rPr>
      </w:pPr>
      <w:r>
        <w:rPr>
          <w:rFonts w:hint="eastAsia" w:ascii="仿宋" w:hAnsi="仿宋" w:eastAsia="仿宋" w:cs="仿宋"/>
          <w:sz w:val="24"/>
          <w:szCs w:val="24"/>
        </w:rPr>
        <w:t>（4）在成功完成专</w:t>
      </w:r>
      <w:r>
        <w:rPr>
          <w:rFonts w:hint="eastAsia" w:ascii="仿宋" w:hAnsi="仿宋" w:eastAsia="仿宋" w:cs="仿宋"/>
          <w:color w:val="000000"/>
          <w:kern w:val="0"/>
          <w:sz w:val="24"/>
          <w:szCs w:val="24"/>
        </w:rPr>
        <w:t>业认证过程中，做出突出贡献的教师。</w:t>
      </w:r>
    </w:p>
    <w:p>
      <w:pPr>
        <w:widowControl/>
        <w:spacing w:line="52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（二）优秀教学管理奖</w:t>
      </w:r>
    </w:p>
    <w:p>
      <w:pPr>
        <w:spacing w:line="360" w:lineRule="auto"/>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1.热爱教学管理工作，原则上从事教学管理工作满二年，考核均在良好以上。工作任务饱满。</w:t>
      </w:r>
    </w:p>
    <w:p>
      <w:pPr>
        <w:spacing w:line="360" w:lineRule="auto"/>
        <w:ind w:firstLine="480" w:firstLineChars="200"/>
        <w:rPr>
          <w:rFonts w:ascii="仿宋" w:hAnsi="仿宋" w:eastAsia="仿宋" w:cs="仿宋"/>
          <w:b/>
          <w:bCs/>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b/>
          <w:bCs/>
          <w:color w:val="000000"/>
          <w:kern w:val="0"/>
          <w:sz w:val="24"/>
          <w:szCs w:val="24"/>
        </w:rPr>
        <w:t>能根据岗位要求，按计划、按时、保质、保量完成；能对岗位工作的信息进行梳理、总结，方便学院随时调取信息；能在教学管理方面发现问题、跟进问题、追踪问题，协助领导探索行之有效的管理措施和办法，且效果显著。</w:t>
      </w:r>
    </w:p>
    <w:p>
      <w:pPr>
        <w:spacing w:line="360" w:lineRule="auto"/>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3.工作主动热情，以师生为本，全心全意为教学工作服务，积极帮助教师和学生解决各种困难，受到教师与学生的普遍认可与好评。</w:t>
      </w:r>
    </w:p>
    <w:p>
      <w:pPr>
        <w:widowControl/>
        <w:spacing w:line="52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二、评选流程</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1.本着宁缺毋滥的原则，各学院按</w:t>
      </w:r>
      <w:r>
        <w:rPr>
          <w:rFonts w:hint="eastAsia" w:ascii="仿宋" w:hAnsi="仿宋" w:eastAsia="仿宋" w:cs="仿宋"/>
          <w:color w:val="000000" w:themeColor="text1"/>
          <w:kern w:val="0"/>
          <w:sz w:val="24"/>
          <w:szCs w:val="24"/>
          <w14:textFill>
            <w14:solidFill>
              <w14:schemeClr w14:val="tx1"/>
            </w14:solidFill>
          </w14:textFill>
        </w:rPr>
        <w:t>专职</w:t>
      </w:r>
      <w:r>
        <w:rPr>
          <w:rFonts w:hint="eastAsia" w:ascii="仿宋" w:hAnsi="仿宋" w:eastAsia="仿宋" w:cs="仿宋"/>
          <w:color w:val="000000"/>
          <w:kern w:val="0"/>
          <w:sz w:val="24"/>
          <w:szCs w:val="24"/>
        </w:rPr>
        <w:t>教师8%的比例进行优秀教学奖候选人推荐，按照择优推荐原则进行优秀教学管理奖（</w:t>
      </w:r>
      <w:bookmarkStart w:id="0" w:name="_GoBack"/>
      <w:r>
        <w:rPr>
          <w:rFonts w:hint="eastAsia" w:ascii="仿宋" w:hAnsi="仿宋" w:eastAsia="仿宋" w:cs="仿宋"/>
          <w:color w:val="000000"/>
          <w:kern w:val="0"/>
          <w:sz w:val="24"/>
          <w:szCs w:val="24"/>
          <w:highlight w:val="none"/>
        </w:rPr>
        <w:t>教学管理人员包含办公室主任</w:t>
      </w:r>
      <w:r>
        <w:rPr>
          <w:rFonts w:hint="eastAsia" w:ascii="仿宋" w:hAnsi="仿宋" w:eastAsia="仿宋" w:cs="仿宋"/>
          <w:color w:val="000000"/>
          <w:kern w:val="0"/>
          <w:sz w:val="24"/>
          <w:szCs w:val="24"/>
          <w:highlight w:val="none"/>
          <w:lang w:val="en-US" w:eastAsia="zh-CN"/>
        </w:rPr>
        <w:t>和</w:t>
      </w:r>
      <w:r>
        <w:rPr>
          <w:rFonts w:hint="eastAsia" w:ascii="仿宋" w:hAnsi="仿宋" w:eastAsia="仿宋" w:cs="仿宋"/>
          <w:color w:val="000000"/>
          <w:kern w:val="0"/>
          <w:sz w:val="24"/>
          <w:szCs w:val="24"/>
          <w:highlight w:val="none"/>
        </w:rPr>
        <w:t>教务</w:t>
      </w:r>
      <w:r>
        <w:rPr>
          <w:rFonts w:hint="eastAsia" w:ascii="仿宋" w:hAnsi="仿宋" w:eastAsia="仿宋" w:cs="仿宋"/>
          <w:color w:val="000000"/>
          <w:kern w:val="0"/>
          <w:sz w:val="24"/>
          <w:szCs w:val="24"/>
          <w:highlight w:val="none"/>
          <w:lang w:val="en-US" w:eastAsia="zh-CN"/>
        </w:rPr>
        <w:t>秘书</w:t>
      </w:r>
      <w:r>
        <w:rPr>
          <w:rFonts w:hint="eastAsia" w:ascii="仿宋" w:hAnsi="仿宋" w:eastAsia="仿宋" w:cs="仿宋"/>
          <w:color w:val="000000"/>
          <w:kern w:val="0"/>
          <w:sz w:val="24"/>
          <w:szCs w:val="24"/>
          <w:highlight w:val="none"/>
        </w:rPr>
        <w:t>）</w:t>
      </w:r>
      <w:bookmarkEnd w:id="0"/>
      <w:r>
        <w:rPr>
          <w:rFonts w:hint="eastAsia" w:ascii="仿宋" w:hAnsi="仿宋" w:eastAsia="仿宋" w:cs="仿宋"/>
          <w:color w:val="000000"/>
          <w:kern w:val="0"/>
          <w:sz w:val="24"/>
          <w:szCs w:val="24"/>
        </w:rPr>
        <w:t>候选人推荐。</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2.参选本人填写申报表，学院对申请材料进行初审，按额度推荐参选教师和教学管理人员，并报送教务处。</w:t>
      </w:r>
    </w:p>
    <w:p>
      <w:pPr>
        <w:widowControl/>
        <w:spacing w:line="520"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3.教务处根据学校要求组织评审，确定优秀教学奖和优秀教学管理奖的建议名单。</w:t>
      </w:r>
    </w:p>
    <w:p>
      <w:pPr>
        <w:widowControl/>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4.人事组织处将优秀教学奖和优秀教学管理奖的建议名单报学校校长办公会审定，并进行公示，公示无异议后发布表彰决定。</w:t>
      </w:r>
    </w:p>
    <w:p>
      <w:pPr>
        <w:spacing w:line="520" w:lineRule="exact"/>
        <w:ind w:firstLine="482" w:firstLineChars="200"/>
        <w:rPr>
          <w:rFonts w:ascii="仿宋" w:hAnsi="仿宋" w:eastAsia="仿宋" w:cs="仿宋"/>
          <w:b/>
          <w:sz w:val="24"/>
          <w:szCs w:val="24"/>
        </w:rPr>
      </w:pPr>
      <w:r>
        <w:rPr>
          <w:rFonts w:hint="eastAsia" w:ascii="仿宋" w:hAnsi="仿宋" w:eastAsia="仿宋" w:cs="仿宋"/>
          <w:b/>
          <w:color w:val="000000"/>
          <w:kern w:val="0"/>
          <w:sz w:val="24"/>
          <w:szCs w:val="24"/>
        </w:rPr>
        <w:t>三、</w:t>
      </w:r>
      <w:r>
        <w:rPr>
          <w:rFonts w:hint="eastAsia" w:ascii="仿宋" w:hAnsi="仿宋" w:eastAsia="仿宋" w:cs="仿宋"/>
          <w:b/>
          <w:sz w:val="24"/>
          <w:szCs w:val="24"/>
        </w:rPr>
        <w:t>评选材料提交和审定时间安排</w:t>
      </w:r>
    </w:p>
    <w:p>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各学院请于12月15日前将优秀教学奖和优秀教学管理奖的推荐名单汇总表（见附件3,一式两份，加盖学院公章）和申报表（见附件1和附件2，纸质版一式五份），提交至教务处，电子版发至赵倩（邮箱：17026@gench.edu.cn）</w:t>
      </w:r>
      <w:r>
        <w:rPr>
          <w:rFonts w:hint="eastAsia" w:ascii="仿宋" w:hAnsi="仿宋" w:eastAsia="仿宋" w:cs="仿宋"/>
          <w:color w:val="000000"/>
          <w:kern w:val="0"/>
          <w:sz w:val="24"/>
          <w:szCs w:val="24"/>
        </w:rPr>
        <w:t>。</w:t>
      </w:r>
    </w:p>
    <w:p>
      <w:pPr>
        <w:spacing w:line="520" w:lineRule="exact"/>
        <w:ind w:firstLine="560"/>
        <w:rPr>
          <w:rFonts w:ascii="仿宋" w:hAnsi="仿宋" w:eastAsia="仿宋" w:cs="仿宋"/>
          <w:sz w:val="24"/>
          <w:szCs w:val="24"/>
        </w:rPr>
      </w:pPr>
      <w:r>
        <w:rPr>
          <w:rFonts w:hint="eastAsia" w:ascii="仿宋" w:hAnsi="仿宋" w:eastAsia="仿宋" w:cs="仿宋"/>
          <w:sz w:val="24"/>
          <w:szCs w:val="24"/>
        </w:rPr>
        <w:t xml:space="preserve">                                                          </w:t>
      </w:r>
    </w:p>
    <w:p>
      <w:pPr>
        <w:spacing w:line="520" w:lineRule="exact"/>
        <w:ind w:firstLine="7516" w:firstLineChars="3132"/>
        <w:rPr>
          <w:rFonts w:ascii="仿宋" w:hAnsi="仿宋" w:eastAsia="仿宋" w:cs="仿宋"/>
          <w:sz w:val="24"/>
          <w:szCs w:val="24"/>
        </w:rPr>
      </w:pPr>
      <w:r>
        <w:rPr>
          <w:rFonts w:hint="eastAsia" w:ascii="仿宋" w:hAnsi="仿宋" w:eastAsia="仿宋" w:cs="仿宋"/>
          <w:sz w:val="24"/>
          <w:szCs w:val="24"/>
        </w:rPr>
        <w:t>上海建桥学院</w:t>
      </w:r>
    </w:p>
    <w:p>
      <w:pPr>
        <w:spacing w:line="520" w:lineRule="exact"/>
        <w:ind w:firstLine="560"/>
        <w:rPr>
          <w:rFonts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334010</wp:posOffset>
                </wp:positionV>
                <wp:extent cx="2635250" cy="280670"/>
                <wp:effectExtent l="0" t="0" r="0" b="5080"/>
                <wp:wrapNone/>
                <wp:docPr id="3"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jc w:val="left"/>
                              <w:rPr>
                                <w:rFonts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6.3pt;height:22.1pt;width:207.5pt;mso-position-horizontal-relative:page;mso-position-vertical-relative:page;z-index:251659264;mso-width-relative:page;mso-height-relative:page;" fillcolor="#FFFFFF" filled="t" stroked="f" coordsize="21600,21600" o:gfxdata="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PIio9QAAAAIAQAA&#10;DwAAAAAAAAABACAAAAAiAAAAZHJzL2Rvd25yZXYueG1sUEsBAhQAFAAAAAgAh07iQGAW36ZWAgAA&#10;nQQAAA4AAAAAAAAAAQAgAAAAIwEAAGRycy9lMm9Eb2MueG1sUEsFBgAAAAAGAAYAWQEAAOsFAAAA&#10;AA==&#10;">
                <v:fill on="t" focussize="0,0"/>
                <v:stroke on="f" weight="0.5pt"/>
                <v:imagedata o:title=""/>
                <o:lock v:ext="edit" aspectratio="f"/>
                <v:textbox>
                  <w:txbxContent>
                    <w:p>
                      <w:pPr>
                        <w:jc w:val="left"/>
                        <w:rPr>
                          <w:rFonts w:ascii="宋体" w:hAnsi="宋体" w:eastAsia="宋体"/>
                          <w:spacing w:val="20"/>
                          <w:sz w:val="24"/>
                          <w:szCs w:val="24"/>
                        </w:rPr>
                      </w:pPr>
                    </w:p>
                  </w:txbxContent>
                </v:textbox>
              </v:shape>
            </w:pict>
          </mc:Fallback>
        </mc:AlternateContent>
      </w:r>
      <w:r>
        <w:rPr>
          <w:rFonts w:hint="eastAsia" w:ascii="仿宋" w:hAnsi="仿宋" w:eastAsia="仿宋" w:cs="仿宋"/>
          <w:sz w:val="24"/>
          <w:szCs w:val="24"/>
        </w:rPr>
        <w:t xml:space="preserve">                                                          2023年11月</w:t>
      </w: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page">
                  <wp:posOffset>540385</wp:posOffset>
                </wp:positionH>
                <wp:positionV relativeFrom="page">
                  <wp:posOffset>353695</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jc w:val="left"/>
                              <w:rPr>
                                <w:rFonts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7.85pt;height:22.1pt;width:207.5pt;mso-position-horizontal-relative:page;mso-position-vertical-relative:page;z-index:251660288;mso-width-relative:page;mso-height-relative:page;" fillcolor="#FFFFFF" filled="t" stroked="f" coordsize="21600,21600" o:gfxdata="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e/HanUAAAACAEA&#10;AA8AAAAAAAAAAQAgAAAAIgAAAGRycy9kb3ducmV2LnhtbFBLAQIUABQAAAAIAIdO4kBFNI9OVwIA&#10;AJ0EAAAOAAAAAAAAAAEAIAAAACMBAABkcnMvZTJvRG9jLnhtbFBLBQYAAAAABgAGAFkBAADsBQAA&#10;AAA=&#10;">
                <v:fill on="t" focussize="0,0"/>
                <v:stroke on="f" weight="0.5pt"/>
                <v:imagedata o:title=""/>
                <o:lock v:ext="edit" aspectratio="f"/>
                <v:textbox>
                  <w:txbxContent>
                    <w:p>
                      <w:pPr>
                        <w:jc w:val="left"/>
                        <w:rPr>
                          <w:rFonts w:ascii="宋体" w:hAnsi="宋体" w:eastAsia="宋体"/>
                          <w:spacing w:val="20"/>
                          <w:sz w:val="24"/>
                          <w:szCs w:val="24"/>
                        </w:rPr>
                      </w:pPr>
                    </w:p>
                  </w:txbxContent>
                </v:textbox>
              </v:shape>
            </w:pict>
          </mc:Fallback>
        </mc:AlternateContent>
      </w:r>
    </w:p>
    <w:p>
      <w:pPr>
        <w:tabs>
          <w:tab w:val="left" w:pos="7350"/>
        </w:tabs>
        <w:spacing w:line="520" w:lineRule="exact"/>
        <w:rPr>
          <w:rFonts w:ascii="FangSong_GB2312" w:eastAsia="FangSong_GB2312"/>
          <w:sz w:val="24"/>
          <w:szCs w:val="24"/>
        </w:rPr>
      </w:pPr>
      <w:r>
        <w:rPr>
          <w:rFonts w:hint="eastAsia" w:ascii="FangSong_GB2312" w:eastAsia="FangSong_GB2312"/>
          <w:sz w:val="24"/>
          <w:szCs w:val="24"/>
        </w:rPr>
        <w:t xml:space="preserve">     </w:t>
      </w:r>
    </w:p>
    <w:p>
      <w:pPr>
        <w:tabs>
          <w:tab w:val="left" w:pos="7350"/>
        </w:tabs>
        <w:spacing w:line="520" w:lineRule="exact"/>
        <w:rPr>
          <w:rFonts w:ascii="FangSong_GB2312" w:eastAsia="FangSong_GB2312"/>
          <w:sz w:val="24"/>
          <w:szCs w:val="24"/>
        </w:rPr>
      </w:pPr>
    </w:p>
    <w:p>
      <w:pPr>
        <w:widowControl/>
        <w:jc w:val="left"/>
        <w:rPr>
          <w:rFonts w:ascii="FangSong_GB2312" w:hAnsi="仿宋" w:eastAsia="FangSong_GB2312"/>
          <w:sz w:val="24"/>
          <w:szCs w:val="24"/>
        </w:rPr>
      </w:pPr>
      <w:r>
        <w:rPr>
          <w:rFonts w:hint="eastAsia" w:ascii="FangSong_GB2312" w:hAnsi="仿宋" w:eastAsia="FangSong_GB2312"/>
          <w:sz w:val="24"/>
          <w:szCs w:val="24"/>
        </w:rPr>
        <w:br w:type="page"/>
      </w:r>
    </w:p>
    <w:p>
      <w:pPr>
        <w:rPr>
          <w:rFonts w:ascii="FangSong_GB2312" w:hAnsi="宋体" w:eastAsia="FangSong_GB2312" w:cs="宋体"/>
          <w:b/>
          <w:sz w:val="24"/>
          <w:szCs w:val="24"/>
        </w:rPr>
      </w:pPr>
      <w:r>
        <w:rPr>
          <w:rFonts w:hint="eastAsia" w:ascii="FangSong_GB2312" w:eastAsia="FangSong_GB2312"/>
          <w:sz w:val="24"/>
          <w:szCs w:val="24"/>
        </w:rPr>
        <mc:AlternateContent>
          <mc:Choice Requires="wps">
            <w:drawing>
              <wp:anchor distT="0" distB="0" distL="114300" distR="114300" simplePos="0" relativeHeight="251661312" behindDoc="0" locked="0" layoutInCell="1" allowOverlap="1">
                <wp:simplePos x="0" y="0"/>
                <wp:positionH relativeFrom="page">
                  <wp:posOffset>673735</wp:posOffset>
                </wp:positionH>
                <wp:positionV relativeFrom="page">
                  <wp:posOffset>1102360</wp:posOffset>
                </wp:positionV>
                <wp:extent cx="2635250" cy="280670"/>
                <wp:effectExtent l="0" t="0" r="0" b="5080"/>
                <wp:wrapNone/>
                <wp:docPr id="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pPr>
                              <w:jc w:val="left"/>
                              <w:rPr>
                                <w:rFonts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20（A2</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05pt;margin-top:86.8pt;height:22.1pt;width:207.5pt;mso-position-horizontal-relative:page;mso-position-vertical-relative:page;z-index:251661312;mso-width-relative:page;mso-height-relative:page;" fillcolor="#FFFFFF" filled="t" stroked="f" coordsize="21600,21600" o:gfxdata="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2Y5DDWAAAACwEA&#10;AA8AAAAAAAAAAQAgAAAAIgAAAGRycy9kb3ducmV2LnhtbFBLAQIUABQAAAAIAIdO4kBrVA6tVQIA&#10;AJ0EAAAOAAAAAAAAAAEAIAAAACUBAABkcnMvZTJvRG9jLnhtbFBLBQYAAAAABgAGAFkBAADsBQAA&#10;AAA=&#10;">
                <v:fill on="t" focussize="0,0"/>
                <v:stroke on="f" weight="0.5pt"/>
                <v:imagedata o:title=""/>
                <o:lock v:ext="edit" aspectratio="f"/>
                <v:textbox>
                  <w:txbxContent>
                    <w:p>
                      <w:pPr>
                        <w:jc w:val="left"/>
                        <w:rPr>
                          <w:rFonts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20（A2</w:t>
                      </w:r>
                      <w:r>
                        <w:rPr>
                          <w:rFonts w:ascii="宋体" w:hAnsi="宋体"/>
                          <w:spacing w:val="20"/>
                          <w:sz w:val="24"/>
                        </w:rPr>
                        <w:t>）</w:t>
                      </w:r>
                    </w:p>
                  </w:txbxContent>
                </v:textbox>
              </v:shape>
            </w:pict>
          </mc:Fallback>
        </mc:AlternateContent>
      </w:r>
      <w:r>
        <w:rPr>
          <w:rFonts w:hint="eastAsia" w:ascii="FangSong_GB2312" w:eastAsia="FangSong_GB2312"/>
          <w:sz w:val="24"/>
          <w:szCs w:val="24"/>
        </w:rPr>
        <w:t>附件1</w:t>
      </w:r>
    </w:p>
    <w:p>
      <w:pPr>
        <w:jc w:val="center"/>
        <w:rPr>
          <w:rFonts w:ascii="FangSong_GB2312" w:hAnsi="宋体" w:eastAsia="FangSong_GB2312" w:cs="宋体"/>
          <w:b/>
          <w:sz w:val="24"/>
          <w:szCs w:val="24"/>
          <w:highlight w:val="yellow"/>
        </w:rPr>
      </w:pPr>
    </w:p>
    <w:p>
      <w:pPr>
        <w:rPr>
          <w:rFonts w:ascii="FangSong_GB2312" w:hAnsi="宋体" w:eastAsia="FangSong_GB2312" w:cs="宋体"/>
          <w:b/>
          <w:sz w:val="24"/>
          <w:szCs w:val="24"/>
          <w:highlight w:val="yellow"/>
        </w:rPr>
      </w:pPr>
    </w:p>
    <w:p>
      <w:pPr>
        <w:jc w:val="center"/>
        <w:rPr>
          <w:rFonts w:ascii="FangSong_GB2312" w:hAnsi="宋体" w:eastAsia="FangSong_GB2312" w:cs="宋体"/>
          <w:b/>
          <w:sz w:val="24"/>
          <w:szCs w:val="24"/>
        </w:rPr>
      </w:pPr>
      <w:r>
        <w:rPr>
          <w:rFonts w:hint="eastAsia" w:ascii="FangSong_GB2312" w:hAnsi="宋体" w:eastAsia="FangSong_GB2312" w:cs="宋体"/>
          <w:b/>
          <w:sz w:val="28"/>
          <w:szCs w:val="28"/>
        </w:rPr>
        <w:t>上海建桥学</w:t>
      </w:r>
      <w:r>
        <w:rPr>
          <w:rFonts w:hint="eastAsia" w:ascii="FangSong_GB2312" w:hAnsi="宋体" w:eastAsia="FangSong_GB2312" w:cs="宋体"/>
          <w:b/>
          <w:color w:val="000000"/>
          <w:sz w:val="28"/>
          <w:szCs w:val="28"/>
        </w:rPr>
        <w:t>院优秀教学奖</w:t>
      </w:r>
      <w:r>
        <w:rPr>
          <w:rFonts w:hint="eastAsia" w:ascii="FangSong_GB2312" w:hAnsi="宋体" w:eastAsia="FangSong_GB2312" w:cs="宋体"/>
          <w:b/>
          <w:sz w:val="28"/>
          <w:szCs w:val="28"/>
        </w:rPr>
        <w:t>申报表</w:t>
      </w:r>
    </w:p>
    <w:p>
      <w:pPr>
        <w:jc w:val="center"/>
        <w:rPr>
          <w:rFonts w:ascii="FangSong_GB2312" w:hAnsi="宋体" w:eastAsia="FangSong_GB2312" w:cs="宋体"/>
          <w:b/>
          <w:sz w:val="24"/>
          <w:szCs w:val="24"/>
        </w:rPr>
      </w:pPr>
      <w:r>
        <w:rPr>
          <w:rFonts w:hint="eastAsia" w:ascii="FangSong_GB2312" w:hAnsi="宋体" w:eastAsia="FangSong_GB2312" w:cs="宋体"/>
          <w:b/>
          <w:sz w:val="24"/>
          <w:szCs w:val="24"/>
        </w:rPr>
        <w:t>（教师本人填写）</w:t>
      </w:r>
    </w:p>
    <w:tbl>
      <w:tblPr>
        <w:tblStyle w:val="4"/>
        <w:tblW w:w="9603"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113" w:type="dxa"/>
          <w:right w:w="108" w:type="dxa"/>
        </w:tblCellMar>
      </w:tblPr>
      <w:tblGrid>
        <w:gridCol w:w="1825"/>
        <w:gridCol w:w="1251"/>
        <w:gridCol w:w="1554"/>
        <w:gridCol w:w="1004"/>
        <w:gridCol w:w="1281"/>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姓名</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工号</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出生年月</w:t>
            </w:r>
          </w:p>
        </w:tc>
        <w:tc>
          <w:tcPr>
            <w:tcW w:w="26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485"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进校时间</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学历学位</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职称</w:t>
            </w:r>
          </w:p>
        </w:tc>
        <w:tc>
          <w:tcPr>
            <w:tcW w:w="26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职务</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申请时间</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所属学院</w:t>
            </w:r>
          </w:p>
        </w:tc>
        <w:tc>
          <w:tcPr>
            <w:tcW w:w="26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63" w:hRule="atLeast"/>
        </w:trPr>
        <w:tc>
          <w:tcPr>
            <w:tcW w:w="960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请教师本人对照学校《优秀教学奖评选实施办法》和《优秀教学奖评选标准》（附件2），如实填写下列内容。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1</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rPr>
                <w:rFonts w:ascii="FangSong_GB2312" w:hAnsi="宋体" w:eastAsia="FangSong_GB2312" w:cs="宋体"/>
                <w:kern w:val="0"/>
                <w:sz w:val="24"/>
                <w:szCs w:val="24"/>
              </w:rPr>
            </w:pPr>
            <w:r>
              <w:rPr>
                <w:rFonts w:hint="eastAsia" w:ascii="FangSong_GB2312" w:hAnsi="宋体" w:eastAsia="FangSong_GB2312" w:cs="宋体"/>
                <w:kern w:val="0"/>
                <w:sz w:val="24"/>
                <w:szCs w:val="24"/>
              </w:rPr>
              <w:t xml:space="preserve">最近两学期学生评教得分（分别列出）：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2</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 xml:space="preserve">教学工作量： </w:t>
            </w: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 xml:space="preserve">      </w:t>
            </w: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是否超额完成教学工作量：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3</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督导、同行或领导听课情况（三选一），请列出听课评价分数：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4</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指导学生获我校重点支持的学科竞赛A\B\C类获奖情况：（注明获得奖励时间）</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5</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教学资料完整情况：</w:t>
            </w:r>
          </w:p>
          <w:p>
            <w:pPr>
              <w:widowControl/>
              <w:jc w:val="left"/>
              <w:rPr>
                <w:rFonts w:ascii="FangSong_GB2312" w:hAnsi="宋体" w:eastAsia="FangSong_GB2312" w:cs="宋体"/>
                <w:kern w:val="0"/>
                <w:sz w:val="24"/>
                <w:szCs w:val="24"/>
                <w:u w:val="single"/>
              </w:rPr>
            </w:pP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 xml:space="preserve">课程在线资源建设（网址）和使用情况： </w:t>
            </w: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6</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课程改善历程材料完成情况：</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79"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7</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校级及以上教学成果和称号（写清第几负责人及获得时间）：</w:t>
            </w: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8</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各级各类教学技能大赛获奖情况：（注明获奖时间）</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95"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9</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作为负责人主持的各级别内涵建设项目（含专业建设、教改项目、课程建设、教材建设、教学团队建设等）情况（标明立项时间）</w:t>
            </w: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10</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发表的教改论文，请注明发表时间和刊物级别（如sci、ssci、南大北大核心、普通刊物等）：</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11</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参与的专业及课程建设工作情况：</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参与的实验室建设工作情况：</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参与的毕业设计/论文指导情况：</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参与的学生社团/竞赛指导情况：</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参与的教学咨询师服务工作情况：</w:t>
            </w: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47"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特别说明</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以上表格无法包括的，特别优异表现：</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99" w:hRule="atLeast"/>
        </w:trPr>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教师承诺</w:t>
            </w:r>
          </w:p>
        </w:tc>
        <w:tc>
          <w:tcPr>
            <w:tcW w:w="77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FangSong_GB2312" w:hAnsi="宋体" w:eastAsia="FangSong_GB2312" w:cs="宋体"/>
                <w:kern w:val="0"/>
                <w:sz w:val="24"/>
                <w:szCs w:val="24"/>
              </w:rPr>
            </w:pPr>
            <w:r>
              <w:rPr>
                <w:rFonts w:hint="eastAsia" w:ascii="FangSong_GB2312" w:hAnsi="宋体" w:eastAsia="FangSong_GB2312" w:cs="宋体"/>
                <w:kern w:val="0"/>
                <w:sz w:val="24"/>
                <w:szCs w:val="24"/>
              </w:rPr>
              <w:t>本人自愿提出此申请。本学年无教学事故，无学术不端，各条款申报情况属实。</w:t>
            </w:r>
          </w:p>
          <w:p>
            <w:pPr>
              <w:widowControl/>
              <w:jc w:val="left"/>
              <w:rPr>
                <w:rFonts w:ascii="FangSong_GB2312" w:hAnsi="宋体" w:eastAsia="FangSong_GB2312" w:cs="宋体"/>
                <w:kern w:val="0"/>
                <w:sz w:val="24"/>
                <w:szCs w:val="24"/>
              </w:rPr>
            </w:pPr>
          </w:p>
          <w:p>
            <w:pPr>
              <w:widowControl/>
              <w:jc w:val="left"/>
              <w:rPr>
                <w:rFonts w:ascii="FangSong_GB2312" w:hAnsi="宋体" w:eastAsia="FangSong_GB2312" w:cs="宋体"/>
                <w:kern w:val="0"/>
                <w:sz w:val="24"/>
                <w:szCs w:val="24"/>
              </w:rPr>
            </w:pPr>
          </w:p>
          <w:p>
            <w:pPr>
              <w:widowControl/>
              <w:ind w:firstLine="3840" w:firstLineChars="1600"/>
              <w:jc w:val="left"/>
              <w:rPr>
                <w:rFonts w:ascii="FangSong_GB2312" w:hAnsi="宋体" w:eastAsia="FangSong_GB2312" w:cs="宋体"/>
                <w:kern w:val="0"/>
                <w:sz w:val="24"/>
                <w:szCs w:val="24"/>
                <w:u w:val="single"/>
              </w:rPr>
            </w:pPr>
            <w:r>
              <w:rPr>
                <w:rFonts w:hint="eastAsia" w:ascii="FangSong_GB2312" w:hAnsi="宋体" w:eastAsia="FangSong_GB2312" w:cs="宋体"/>
                <w:kern w:val="0"/>
                <w:sz w:val="24"/>
                <w:szCs w:val="24"/>
              </w:rPr>
              <w:t>教师签名：</w:t>
            </w:r>
          </w:p>
        </w:tc>
      </w:tr>
    </w:tbl>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rPr>
          <w:rFonts w:ascii="FangSong_GB2312" w:eastAsia="FangSong_GB2312"/>
          <w:sz w:val="24"/>
          <w:szCs w:val="24"/>
        </w:rPr>
      </w:pPr>
    </w:p>
    <w:p>
      <w:pPr>
        <w:widowControl/>
        <w:spacing w:line="580" w:lineRule="exac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 xml:space="preserve">附件2： </w:t>
      </w:r>
    </w:p>
    <w:p>
      <w:pPr>
        <w:jc w:val="center"/>
        <w:rPr>
          <w:rFonts w:ascii="FangSong_GB2312" w:hAnsi="宋体" w:eastAsia="FangSong_GB2312" w:cs="宋体"/>
          <w:b/>
          <w:sz w:val="28"/>
          <w:szCs w:val="28"/>
        </w:rPr>
      </w:pPr>
      <w:r>
        <w:rPr>
          <w:rFonts w:hint="eastAsia" w:ascii="FangSong_GB2312" w:hAnsi="宋体" w:eastAsia="FangSong_GB2312" w:cs="宋体"/>
          <w:b/>
          <w:sz w:val="28"/>
          <w:szCs w:val="28"/>
        </w:rPr>
        <w:t>上海建桥学</w:t>
      </w:r>
      <w:r>
        <w:rPr>
          <w:rFonts w:hint="eastAsia" w:ascii="FangSong_GB2312" w:hAnsi="宋体" w:eastAsia="FangSong_GB2312" w:cs="宋体"/>
          <w:b/>
          <w:color w:val="000000"/>
          <w:sz w:val="28"/>
          <w:szCs w:val="28"/>
        </w:rPr>
        <w:t>院优秀教学管理奖</w:t>
      </w:r>
      <w:r>
        <w:rPr>
          <w:rFonts w:hint="eastAsia" w:ascii="FangSong_GB2312" w:hAnsi="宋体" w:eastAsia="FangSong_GB2312" w:cs="宋体"/>
          <w:b/>
          <w:sz w:val="28"/>
          <w:szCs w:val="28"/>
        </w:rPr>
        <w:t>申报表</w:t>
      </w:r>
    </w:p>
    <w:p>
      <w:pPr>
        <w:jc w:val="center"/>
        <w:rPr>
          <w:rFonts w:ascii="FangSong_GB2312" w:hAnsi="宋体" w:eastAsia="FangSong_GB2312" w:cs="宋体"/>
          <w:b/>
          <w:sz w:val="24"/>
          <w:szCs w:val="24"/>
        </w:rPr>
      </w:pPr>
      <w:r>
        <w:rPr>
          <w:rFonts w:hint="eastAsia" w:ascii="FangSong_GB2312" w:hAnsi="宋体" w:eastAsia="FangSong_GB2312" w:cs="宋体"/>
          <w:b/>
          <w:sz w:val="24"/>
          <w:szCs w:val="24"/>
        </w:rPr>
        <w:t>（教学管理人员本人填写）</w:t>
      </w:r>
    </w:p>
    <w:tbl>
      <w:tblPr>
        <w:tblStyle w:val="4"/>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974"/>
        <w:gridCol w:w="353"/>
        <w:gridCol w:w="295"/>
        <w:gridCol w:w="740"/>
        <w:gridCol w:w="780"/>
        <w:gridCol w:w="1571"/>
        <w:gridCol w:w="1201"/>
        <w:gridCol w:w="1183"/>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92" w:type="dxa"/>
            <w:tcBorders>
              <w:top w:val="single" w:color="auto" w:sz="4" w:space="0"/>
              <w:lef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姓名</w:t>
            </w:r>
          </w:p>
        </w:tc>
        <w:tc>
          <w:tcPr>
            <w:tcW w:w="1327" w:type="dxa"/>
            <w:gridSpan w:val="2"/>
            <w:tcBorders>
              <w:top w:val="single" w:color="auto" w:sz="4" w:space="0"/>
              <w:right w:val="single" w:color="auto" w:sz="4" w:space="0"/>
            </w:tcBorders>
            <w:vAlign w:val="center"/>
          </w:tcPr>
          <w:p>
            <w:pPr>
              <w:spacing w:line="280" w:lineRule="exact"/>
              <w:jc w:val="center"/>
              <w:rPr>
                <w:rFonts w:ascii="仿宋" w:hAnsi="仿宋" w:eastAsia="仿宋" w:cs="仿宋"/>
                <w:sz w:val="24"/>
                <w:szCs w:val="24"/>
              </w:rPr>
            </w:pPr>
          </w:p>
        </w:tc>
        <w:tc>
          <w:tcPr>
            <w:tcW w:w="1035" w:type="dxa"/>
            <w:gridSpan w:val="2"/>
            <w:tcBorders>
              <w:top w:val="single" w:color="auto" w:sz="4" w:space="0"/>
              <w:lef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职称</w:t>
            </w:r>
          </w:p>
        </w:tc>
        <w:tc>
          <w:tcPr>
            <w:tcW w:w="780" w:type="dxa"/>
            <w:tcBorders>
              <w:top w:val="single" w:color="auto" w:sz="4" w:space="0"/>
              <w:right w:val="single" w:color="auto" w:sz="4" w:space="0"/>
            </w:tcBorders>
            <w:vAlign w:val="center"/>
          </w:tcPr>
          <w:p>
            <w:pPr>
              <w:spacing w:line="280" w:lineRule="exact"/>
              <w:jc w:val="center"/>
              <w:rPr>
                <w:rFonts w:ascii="仿宋" w:hAnsi="仿宋" w:eastAsia="仿宋" w:cs="仿宋"/>
                <w:sz w:val="24"/>
                <w:szCs w:val="24"/>
              </w:rPr>
            </w:pPr>
          </w:p>
        </w:tc>
        <w:tc>
          <w:tcPr>
            <w:tcW w:w="1571" w:type="dxa"/>
            <w:tcBorders>
              <w:top w:val="single" w:color="auto" w:sz="4" w:space="0"/>
              <w:lef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出生年月</w:t>
            </w:r>
          </w:p>
        </w:tc>
        <w:tc>
          <w:tcPr>
            <w:tcW w:w="1201" w:type="dxa"/>
            <w:tcBorders>
              <w:top w:val="single" w:color="auto" w:sz="4" w:space="0"/>
              <w:right w:val="single" w:color="auto" w:sz="4" w:space="0"/>
            </w:tcBorders>
            <w:vAlign w:val="center"/>
          </w:tcPr>
          <w:p>
            <w:pPr>
              <w:spacing w:line="280" w:lineRule="exact"/>
              <w:jc w:val="center"/>
              <w:rPr>
                <w:rFonts w:ascii="仿宋" w:hAnsi="仿宋" w:eastAsia="仿宋" w:cs="仿宋"/>
                <w:sz w:val="24"/>
                <w:szCs w:val="24"/>
              </w:rPr>
            </w:pPr>
          </w:p>
        </w:tc>
        <w:tc>
          <w:tcPr>
            <w:tcW w:w="1183" w:type="dxa"/>
            <w:tcBorders>
              <w:top w:val="single" w:color="auto" w:sz="4" w:space="0"/>
              <w:righ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政治面貌</w:t>
            </w:r>
          </w:p>
        </w:tc>
        <w:tc>
          <w:tcPr>
            <w:tcW w:w="865" w:type="dxa"/>
            <w:tcBorders>
              <w:top w:val="single" w:color="auto" w:sz="4" w:space="0"/>
              <w:right w:val="single" w:color="auto" w:sz="4" w:space="0"/>
            </w:tcBorders>
            <w:vAlign w:val="center"/>
          </w:tcPr>
          <w:p>
            <w:pPr>
              <w:spacing w:line="28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866" w:type="dxa"/>
            <w:gridSpan w:val="2"/>
            <w:tcBorders>
              <w:lef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所在学院</w:t>
            </w:r>
          </w:p>
        </w:tc>
        <w:tc>
          <w:tcPr>
            <w:tcW w:w="2168" w:type="dxa"/>
            <w:gridSpan w:val="4"/>
            <w:tcBorders>
              <w:left w:val="single" w:color="auto" w:sz="4" w:space="0"/>
              <w:right w:val="single" w:color="auto" w:sz="4" w:space="0"/>
            </w:tcBorders>
            <w:vAlign w:val="center"/>
          </w:tcPr>
          <w:p>
            <w:pPr>
              <w:spacing w:line="400" w:lineRule="exact"/>
              <w:jc w:val="center"/>
              <w:rPr>
                <w:rFonts w:ascii="仿宋" w:hAnsi="仿宋" w:eastAsia="仿宋" w:cs="仿宋"/>
                <w:sz w:val="24"/>
                <w:szCs w:val="24"/>
              </w:rPr>
            </w:pPr>
          </w:p>
        </w:tc>
        <w:tc>
          <w:tcPr>
            <w:tcW w:w="1571" w:type="dxa"/>
            <w:tcBorders>
              <w:left w:val="single" w:color="auto" w:sz="4" w:space="0"/>
              <w:right w:val="single" w:color="auto" w:sz="4" w:space="0"/>
            </w:tcBorders>
            <w:vAlign w:val="center"/>
          </w:tcPr>
          <w:p>
            <w:pPr>
              <w:spacing w:line="280" w:lineRule="exact"/>
              <w:jc w:val="center"/>
              <w:rPr>
                <w:rFonts w:ascii="仿宋" w:hAnsi="仿宋" w:eastAsia="仿宋" w:cs="仿宋"/>
                <w:sz w:val="24"/>
                <w:szCs w:val="24"/>
              </w:rPr>
            </w:pPr>
            <w:r>
              <w:rPr>
                <w:rFonts w:hint="eastAsia" w:ascii="仿宋" w:hAnsi="仿宋" w:eastAsia="仿宋" w:cs="仿宋"/>
                <w:sz w:val="24"/>
                <w:szCs w:val="24"/>
              </w:rPr>
              <w:t>现任岗位及</w:t>
            </w:r>
          </w:p>
          <w:p>
            <w:pPr>
              <w:spacing w:line="280" w:lineRule="exact"/>
              <w:jc w:val="center"/>
              <w:rPr>
                <w:rFonts w:ascii="仿宋" w:hAnsi="仿宋" w:eastAsia="仿宋" w:cs="仿宋"/>
                <w:sz w:val="24"/>
                <w:szCs w:val="24"/>
              </w:rPr>
            </w:pPr>
            <w:r>
              <w:rPr>
                <w:rFonts w:hint="eastAsia" w:ascii="仿宋" w:hAnsi="仿宋" w:eastAsia="仿宋" w:cs="仿宋"/>
                <w:sz w:val="24"/>
                <w:szCs w:val="24"/>
              </w:rPr>
              <w:t>起始年月</w:t>
            </w:r>
          </w:p>
        </w:tc>
        <w:tc>
          <w:tcPr>
            <w:tcW w:w="3249" w:type="dxa"/>
            <w:gridSpan w:val="3"/>
            <w:tcBorders>
              <w:left w:val="single" w:color="auto" w:sz="4" w:space="0"/>
              <w:right w:val="single" w:color="auto" w:sz="4" w:space="0"/>
            </w:tcBorders>
            <w:vAlign w:val="center"/>
          </w:tcPr>
          <w:p>
            <w:pPr>
              <w:spacing w:line="50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2514" w:type="dxa"/>
            <w:gridSpan w:val="4"/>
            <w:tcBorders>
              <w:left w:val="single" w:color="auto" w:sz="4" w:space="0"/>
            </w:tcBorders>
            <w:vAlign w:val="center"/>
          </w:tcPr>
          <w:p>
            <w:pPr>
              <w:spacing w:line="340" w:lineRule="exact"/>
              <w:jc w:val="center"/>
              <w:rPr>
                <w:rFonts w:ascii="仿宋" w:hAnsi="仿宋" w:eastAsia="仿宋" w:cs="仿宋"/>
                <w:kern w:val="0"/>
                <w:sz w:val="24"/>
                <w:szCs w:val="24"/>
              </w:rPr>
            </w:pPr>
            <w:r>
              <w:rPr>
                <w:rFonts w:hint="eastAsia" w:ascii="仿宋" w:hAnsi="仿宋" w:eastAsia="仿宋" w:cs="仿宋"/>
                <w:kern w:val="0"/>
                <w:sz w:val="24"/>
                <w:szCs w:val="24"/>
              </w:rPr>
              <w:t>任职以来考核</w:t>
            </w:r>
          </w:p>
          <w:p>
            <w:pPr>
              <w:spacing w:line="340" w:lineRule="exact"/>
              <w:jc w:val="center"/>
              <w:rPr>
                <w:rFonts w:ascii="仿宋" w:hAnsi="仿宋" w:eastAsia="仿宋" w:cs="仿宋"/>
                <w:kern w:val="0"/>
                <w:sz w:val="24"/>
                <w:szCs w:val="24"/>
              </w:rPr>
            </w:pPr>
            <w:r>
              <w:rPr>
                <w:rFonts w:hint="eastAsia" w:ascii="仿宋" w:hAnsi="仿宋" w:eastAsia="仿宋" w:cs="仿宋"/>
                <w:kern w:val="0"/>
                <w:sz w:val="24"/>
                <w:szCs w:val="24"/>
              </w:rPr>
              <w:t>优秀的年度</w:t>
            </w:r>
          </w:p>
        </w:tc>
        <w:tc>
          <w:tcPr>
            <w:tcW w:w="6340" w:type="dxa"/>
            <w:gridSpan w:val="6"/>
            <w:tcBorders>
              <w:left w:val="single" w:color="auto" w:sz="4" w:space="0"/>
              <w:right w:val="single" w:color="auto" w:sz="4" w:space="0"/>
            </w:tcBorders>
            <w:vAlign w:val="center"/>
          </w:tcPr>
          <w:p>
            <w:pPr>
              <w:spacing w:line="34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pPr>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个</w:t>
            </w:r>
          </w:p>
          <w:p>
            <w:pPr>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人</w:t>
            </w:r>
          </w:p>
          <w:p>
            <w:pPr>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小</w:t>
            </w:r>
          </w:p>
          <w:p>
            <w:pPr>
              <w:spacing w:line="440" w:lineRule="exact"/>
              <w:jc w:val="center"/>
              <w:rPr>
                <w:rFonts w:ascii="仿宋" w:hAnsi="仿宋" w:eastAsia="仿宋" w:cs="仿宋"/>
                <w:b/>
                <w:sz w:val="24"/>
                <w:szCs w:val="24"/>
              </w:rPr>
            </w:pPr>
            <w:r>
              <w:rPr>
                <w:rFonts w:hint="eastAsia" w:ascii="仿宋" w:hAnsi="仿宋" w:eastAsia="仿宋" w:cs="仿宋"/>
                <w:spacing w:val="-20"/>
                <w:sz w:val="24"/>
                <w:szCs w:val="24"/>
              </w:rPr>
              <w:t>结</w:t>
            </w:r>
          </w:p>
        </w:tc>
        <w:tc>
          <w:tcPr>
            <w:tcW w:w="7962" w:type="dxa"/>
            <w:gridSpan w:val="9"/>
            <w:vAlign w:val="center"/>
          </w:tcPr>
          <w:p>
            <w:pPr>
              <w:rPr>
                <w:rFonts w:ascii="仿宋" w:hAnsi="仿宋" w:eastAsia="仿宋" w:cs="仿宋"/>
                <w:sz w:val="24"/>
                <w:szCs w:val="24"/>
              </w:rPr>
            </w:pPr>
            <w:r>
              <w:rPr>
                <w:rFonts w:hint="eastAsia" w:ascii="仿宋" w:hAnsi="仿宋" w:eastAsia="仿宋" w:cs="仿宋"/>
                <w:sz w:val="24"/>
                <w:szCs w:val="24"/>
              </w:rPr>
              <w:t>主要从以下方面进行自述：个人工作业绩（结合自身岗位工作，总结个人工作实效）；近期教学管理改革及工作设想（可结合自身实际总结工作方法、工作特色等）</w:t>
            </w:r>
          </w:p>
          <w:p>
            <w:pPr>
              <w:rPr>
                <w:rFonts w:ascii="仿宋" w:hAnsi="仿宋" w:eastAsia="仿宋" w:cs="仿宋"/>
                <w:sz w:val="24"/>
                <w:szCs w:val="24"/>
              </w:rPr>
            </w:pPr>
            <w:r>
              <w:rPr>
                <w:rFonts w:hint="eastAsia" w:ascii="仿宋" w:hAnsi="仿宋" w:eastAsia="仿宋" w:cs="仿宋"/>
                <w:sz w:val="24"/>
                <w:szCs w:val="24"/>
              </w:rPr>
              <w:t>要求：简明扼要、重点突出、层次清晰。</w:t>
            </w: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rPr>
                <w:rFonts w:ascii="仿宋" w:hAnsi="仿宋" w:eastAsia="仿宋" w:cs="仿宋"/>
                <w:sz w:val="24"/>
                <w:szCs w:val="24"/>
              </w:rPr>
            </w:pPr>
          </w:p>
          <w:p>
            <w:pPr>
              <w:spacing w:line="440" w:lineRule="exact"/>
              <w:jc w:val="center"/>
              <w:rPr>
                <w:rFonts w:ascii="仿宋" w:hAnsi="仿宋" w:eastAsia="仿宋" w:cs="仿宋"/>
                <w:sz w:val="24"/>
                <w:szCs w:val="24"/>
              </w:rPr>
            </w:pPr>
            <w:r>
              <w:rPr>
                <w:rFonts w:hint="eastAsia" w:ascii="仿宋" w:hAnsi="仿宋" w:eastAsia="仿宋" w:cs="仿宋"/>
                <w:sz w:val="24"/>
                <w:szCs w:val="24"/>
              </w:rPr>
              <w:t xml:space="preserve"> 本人签名： </w:t>
            </w:r>
          </w:p>
          <w:p>
            <w:pPr>
              <w:wordWrap w:val="0"/>
              <w:spacing w:line="440" w:lineRule="exact"/>
              <w:jc w:val="right"/>
              <w:rPr>
                <w:rFonts w:ascii="仿宋" w:hAnsi="仿宋" w:eastAsia="仿宋" w:cs="仿宋"/>
                <w:sz w:val="24"/>
                <w:szCs w:val="24"/>
              </w:rPr>
            </w:pPr>
            <w:r>
              <w:rPr>
                <w:rFonts w:hint="eastAsia" w:ascii="仿宋" w:hAnsi="仿宋" w:eastAsia="仿宋" w:cs="仿宋"/>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pPr>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所在学院推荐意见</w:t>
            </w:r>
          </w:p>
        </w:tc>
        <w:tc>
          <w:tcPr>
            <w:tcW w:w="7962" w:type="dxa"/>
            <w:gridSpan w:val="9"/>
            <w:vAlign w:val="center"/>
          </w:tcPr>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r>
              <w:rPr>
                <w:rFonts w:hint="eastAsia" w:ascii="仿宋" w:hAnsi="仿宋" w:eastAsia="仿宋" w:cs="仿宋"/>
                <w:sz w:val="24"/>
                <w:szCs w:val="24"/>
              </w:rPr>
              <w:t xml:space="preserve">                                      学院推荐人签字：</w:t>
            </w:r>
          </w:p>
          <w:p>
            <w:pPr>
              <w:wordWrap w:val="0"/>
              <w:spacing w:line="440" w:lineRule="exact"/>
              <w:ind w:firstLine="5040" w:firstLineChars="2100"/>
              <w:rPr>
                <w:rFonts w:ascii="仿宋" w:hAnsi="仿宋" w:eastAsia="仿宋" w:cs="仿宋"/>
                <w:sz w:val="24"/>
                <w:szCs w:val="24"/>
              </w:rPr>
            </w:pPr>
            <w:r>
              <w:rPr>
                <w:rFonts w:hint="eastAsia" w:ascii="仿宋" w:hAnsi="仿宋" w:eastAsia="仿宋" w:cs="仿宋"/>
                <w:sz w:val="24"/>
                <w:szCs w:val="24"/>
              </w:rPr>
              <w:t>学院盖章</w:t>
            </w:r>
          </w:p>
          <w:p>
            <w:pPr>
              <w:wordWrap w:val="0"/>
              <w:spacing w:line="440" w:lineRule="exact"/>
              <w:rPr>
                <w:rFonts w:ascii="仿宋" w:hAnsi="仿宋" w:eastAsia="仿宋" w:cs="仿宋"/>
                <w:sz w:val="24"/>
                <w:szCs w:val="24"/>
              </w:rPr>
            </w:pPr>
            <w:r>
              <w:rPr>
                <w:rFonts w:hint="eastAsia" w:ascii="仿宋" w:hAnsi="仿宋" w:eastAsia="仿宋" w:cs="仿宋"/>
                <w:sz w:val="24"/>
                <w:szCs w:val="24"/>
              </w:rPr>
              <w:t xml:space="preserve">                                        </w:t>
            </w: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pPr>
              <w:spacing w:line="440" w:lineRule="exact"/>
              <w:jc w:val="center"/>
              <w:rPr>
                <w:rFonts w:ascii="仿宋" w:hAnsi="仿宋" w:eastAsia="仿宋" w:cs="仿宋"/>
                <w:spacing w:val="-20"/>
                <w:sz w:val="24"/>
                <w:szCs w:val="24"/>
              </w:rPr>
            </w:pPr>
            <w:r>
              <w:rPr>
                <w:rFonts w:hint="eastAsia" w:ascii="仿宋" w:hAnsi="仿宋" w:eastAsia="仿宋" w:cs="仿宋"/>
                <w:spacing w:val="-20"/>
                <w:sz w:val="24"/>
                <w:szCs w:val="24"/>
              </w:rPr>
              <w:t>工作相关方推荐意见</w:t>
            </w:r>
          </w:p>
        </w:tc>
        <w:tc>
          <w:tcPr>
            <w:tcW w:w="7962" w:type="dxa"/>
            <w:gridSpan w:val="9"/>
            <w:vAlign w:val="center"/>
          </w:tcPr>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r>
              <w:rPr>
                <w:rFonts w:hint="eastAsia" w:ascii="仿宋" w:hAnsi="仿宋" w:eastAsia="仿宋" w:cs="仿宋"/>
                <w:sz w:val="24"/>
                <w:szCs w:val="24"/>
              </w:rPr>
              <w:t xml:space="preserve">                                     工作相关方推荐人签字：</w:t>
            </w:r>
          </w:p>
          <w:p>
            <w:pPr>
              <w:wordWrap w:val="0"/>
              <w:spacing w:line="440" w:lineRule="exact"/>
              <w:rPr>
                <w:rFonts w:ascii="仿宋" w:hAnsi="仿宋" w:eastAsia="仿宋" w:cs="仿宋"/>
                <w:sz w:val="24"/>
                <w:szCs w:val="24"/>
              </w:rPr>
            </w:pPr>
            <w:r>
              <w:rPr>
                <w:rFonts w:hint="eastAsia" w:ascii="仿宋" w:hAnsi="仿宋" w:eastAsia="仿宋" w:cs="仿宋"/>
                <w:sz w:val="24"/>
                <w:szCs w:val="24"/>
              </w:rPr>
              <w:t xml:space="preserve">                                        工作相关部门盖章</w:t>
            </w: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p>
            <w:pPr>
              <w:wordWrap w:val="0"/>
              <w:spacing w:line="440" w:lineRule="exact"/>
              <w:rPr>
                <w:rFonts w:ascii="仿宋" w:hAnsi="仿宋" w:eastAsia="仿宋" w:cs="仿宋"/>
                <w:sz w:val="24"/>
                <w:szCs w:val="24"/>
              </w:rPr>
            </w:pPr>
          </w:p>
        </w:tc>
      </w:tr>
    </w:tbl>
    <w:p>
      <w:pPr>
        <w:rPr>
          <w:vanish/>
        </w:rPr>
      </w:pPr>
    </w:p>
    <w:p>
      <w:pPr>
        <w:spacing w:line="360" w:lineRule="auto"/>
        <w:ind w:firstLine="400" w:firstLineChars="200"/>
        <w:rPr>
          <w:sz w:val="20"/>
        </w:rPr>
      </w:pPr>
    </w:p>
    <w:p>
      <w:pPr>
        <w:rPr>
          <w:rFonts w:ascii="FangSong_GB2312" w:eastAsia="FangSong_GB2312" w:cs="宋体" w:hAnsiTheme="minorEastAsia"/>
          <w:kern w:val="0"/>
          <w:sz w:val="24"/>
          <w:szCs w:val="24"/>
        </w:rPr>
      </w:pPr>
      <w:r>
        <w:rPr>
          <w:rFonts w:hint="eastAsia" w:ascii="FangSong_GB2312" w:eastAsia="FangSong_GB2312" w:cs="宋体" w:hAnsiTheme="minorEastAsia"/>
          <w:kern w:val="0"/>
          <w:sz w:val="24"/>
          <w:szCs w:val="24"/>
        </w:rPr>
        <w:br w:type="page"/>
      </w:r>
    </w:p>
    <w:p>
      <w:pPr>
        <w:rPr>
          <w:rFonts w:ascii="FangSong_GB2312" w:eastAsia="FangSong_GB2312" w:cs="宋体" w:hAnsiTheme="minorEastAsia"/>
          <w:kern w:val="0"/>
          <w:sz w:val="24"/>
          <w:szCs w:val="24"/>
        </w:rPr>
      </w:pPr>
      <w:r>
        <w:rPr>
          <w:rFonts w:hint="eastAsia" w:ascii="FangSong_GB2312" w:eastAsia="FangSong_GB2312" w:cs="宋体" w:hAnsiTheme="minorEastAsia"/>
          <w:kern w:val="0"/>
          <w:sz w:val="24"/>
          <w:szCs w:val="24"/>
        </w:rPr>
        <w:t>附件3</w:t>
      </w:r>
    </w:p>
    <w:p>
      <w:pPr>
        <w:jc w:val="center"/>
        <w:rPr>
          <w:rFonts w:ascii="FangSong_GB2312" w:eastAsia="FangSong_GB2312" w:cs="宋体" w:hAnsiTheme="minorEastAsia"/>
          <w:kern w:val="0"/>
          <w:sz w:val="24"/>
          <w:szCs w:val="24"/>
        </w:rPr>
      </w:pPr>
    </w:p>
    <w:p>
      <w:pPr>
        <w:jc w:val="center"/>
        <w:rPr>
          <w:rFonts w:ascii="FangSong_GB2312" w:hAnsi="宋体" w:eastAsia="FangSong_GB2312" w:cs="宋体"/>
          <w:kern w:val="0"/>
          <w:sz w:val="24"/>
          <w:szCs w:val="24"/>
        </w:rPr>
      </w:pPr>
      <w:r>
        <w:rPr>
          <w:rFonts w:hint="eastAsia" w:ascii="FangSong_GB2312" w:eastAsia="FangSong_GB2312" w:cs="宋体" w:hAnsiTheme="minorEastAsia"/>
          <w:kern w:val="0"/>
          <w:sz w:val="24"/>
          <w:szCs w:val="24"/>
        </w:rPr>
        <w:t>表1  _______</w:t>
      </w:r>
      <w:r>
        <w:rPr>
          <w:rFonts w:hint="eastAsia" w:ascii="FangSong_GB2312" w:hAnsi="宋体" w:eastAsia="FangSong_GB2312" w:cs="宋体"/>
          <w:kern w:val="0"/>
          <w:sz w:val="24"/>
          <w:szCs w:val="24"/>
        </w:rPr>
        <w:t>学院优秀教学奖推荐名单汇总表</w:t>
      </w:r>
    </w:p>
    <w:p>
      <w:pPr>
        <w:jc w:val="left"/>
        <w:rPr>
          <w:rFonts w:ascii="FangSong_GB2312" w:hAnsi="宋体" w:eastAsia="FangSong_GB2312" w:cs="宋体"/>
          <w:kern w:val="0"/>
          <w:sz w:val="24"/>
          <w:szCs w:val="24"/>
        </w:rPr>
      </w:pPr>
      <w:r>
        <w:rPr>
          <w:rFonts w:hint="eastAsia" w:ascii="FangSong_GB2312" w:hAnsi="宋体" w:eastAsia="FangSong_GB2312" w:cs="宋体"/>
          <w:b/>
          <w:kern w:val="0"/>
          <w:sz w:val="24"/>
          <w:szCs w:val="24"/>
        </w:rPr>
        <w:t>说明</w:t>
      </w:r>
      <w:r>
        <w:rPr>
          <w:rFonts w:hint="eastAsia" w:ascii="FangSong_GB2312" w:hAnsi="宋体" w:eastAsia="FangSong_GB2312" w:cs="宋体"/>
          <w:kern w:val="0"/>
          <w:sz w:val="24"/>
          <w:szCs w:val="24"/>
        </w:rPr>
        <w:t>：请各学院参照优秀教学奖评选标准（附件4）中</w:t>
      </w:r>
      <w:r>
        <w:rPr>
          <w:rFonts w:hint="eastAsia" w:ascii="FangSong_GB2312" w:hAnsi="宋体" w:eastAsia="FangSong_GB2312" w:cs="宋体"/>
          <w:b/>
          <w:kern w:val="0"/>
          <w:sz w:val="24"/>
          <w:szCs w:val="24"/>
        </w:rPr>
        <w:t>学院层面打分</w:t>
      </w:r>
      <w:r>
        <w:rPr>
          <w:rFonts w:hint="eastAsia" w:ascii="FangSong_GB2312" w:hAnsi="宋体" w:eastAsia="FangSong_GB2312" w:cs="宋体"/>
          <w:kern w:val="0"/>
          <w:sz w:val="24"/>
          <w:szCs w:val="24"/>
        </w:rPr>
        <w:t>的指标要求，完成下列汇总表内要求的各项内容。（下列各项给分必须经过学院认定）</w:t>
      </w:r>
    </w:p>
    <w:tbl>
      <w:tblPr>
        <w:tblStyle w:val="5"/>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872"/>
        <w:gridCol w:w="900"/>
        <w:gridCol w:w="1020"/>
        <w:gridCol w:w="975"/>
        <w:gridCol w:w="1050"/>
        <w:gridCol w:w="960"/>
        <w:gridCol w:w="825"/>
        <w:gridCol w:w="1050"/>
        <w:gridCol w:w="88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77"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序号</w:t>
            </w:r>
          </w:p>
        </w:tc>
        <w:tc>
          <w:tcPr>
            <w:tcW w:w="872"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推荐教师</w:t>
            </w:r>
          </w:p>
        </w:tc>
        <w:tc>
          <w:tcPr>
            <w:tcW w:w="90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所在系/教研室</w:t>
            </w:r>
          </w:p>
        </w:tc>
        <w:tc>
          <w:tcPr>
            <w:tcW w:w="102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“教学工作量”学院给分</w:t>
            </w:r>
          </w:p>
        </w:tc>
        <w:tc>
          <w:tcPr>
            <w:tcW w:w="975" w:type="dxa"/>
            <w:vAlign w:val="center"/>
          </w:tcPr>
          <w:p>
            <w:pPr>
              <w:jc w:val="center"/>
              <w:rPr>
                <w:rFonts w:ascii="FangSong_GB2312" w:hAnsi="宋体" w:eastAsia="FangSong_GB2312" w:cs="宋体"/>
                <w:kern w:val="0"/>
                <w:sz w:val="24"/>
                <w:szCs w:val="24"/>
              </w:rPr>
            </w:pPr>
            <w:r>
              <w:rPr>
                <w:rFonts w:hint="eastAsia" w:ascii="FangSong_GB2312" w:hAnsi="仿宋" w:eastAsia="FangSong_GB2312" w:cs="宋体"/>
                <w:color w:val="000000"/>
                <w:kern w:val="0"/>
                <w:sz w:val="24"/>
                <w:szCs w:val="24"/>
              </w:rPr>
              <w:t>“教学工作质量”学院给分</w:t>
            </w:r>
          </w:p>
        </w:tc>
        <w:tc>
          <w:tcPr>
            <w:tcW w:w="1050" w:type="dxa"/>
            <w:vAlign w:val="center"/>
          </w:tcPr>
          <w:p>
            <w:pPr>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“指导学生”学院给分</w:t>
            </w:r>
          </w:p>
        </w:tc>
        <w:tc>
          <w:tcPr>
            <w:tcW w:w="960" w:type="dxa"/>
            <w:vAlign w:val="center"/>
          </w:tcPr>
          <w:p>
            <w:pPr>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“教学资料”学院给分</w:t>
            </w:r>
          </w:p>
        </w:tc>
        <w:tc>
          <w:tcPr>
            <w:tcW w:w="825" w:type="dxa"/>
            <w:vAlign w:val="center"/>
          </w:tcPr>
          <w:p>
            <w:pPr>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“论文”学院给分</w:t>
            </w:r>
          </w:p>
        </w:tc>
        <w:tc>
          <w:tcPr>
            <w:tcW w:w="1050" w:type="dxa"/>
            <w:vAlign w:val="center"/>
          </w:tcPr>
          <w:p>
            <w:pPr>
              <w:jc w:val="center"/>
              <w:rPr>
                <w:rFonts w:ascii="FangSong_GB2312" w:hAnsi="仿宋" w:eastAsia="FangSong_GB2312" w:cs="宋体"/>
                <w:color w:val="000000"/>
                <w:kern w:val="0"/>
                <w:sz w:val="24"/>
                <w:szCs w:val="24"/>
              </w:rPr>
            </w:pPr>
            <w:r>
              <w:rPr>
                <w:rFonts w:hint="eastAsia" w:ascii="FangSong_GB2312" w:hAnsi="仿宋" w:eastAsia="FangSong_GB2312" w:cs="宋体"/>
                <w:kern w:val="0"/>
                <w:sz w:val="24"/>
                <w:szCs w:val="24"/>
              </w:rPr>
              <w:t>“承担院系教学服务”（附加分）学院给分</w:t>
            </w:r>
          </w:p>
        </w:tc>
        <w:tc>
          <w:tcPr>
            <w:tcW w:w="885" w:type="dxa"/>
            <w:vAlign w:val="center"/>
          </w:tcPr>
          <w:p>
            <w:pPr>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是否是直接认定</w:t>
            </w:r>
          </w:p>
        </w:tc>
        <w:tc>
          <w:tcPr>
            <w:tcW w:w="885" w:type="dxa"/>
            <w:vAlign w:val="center"/>
          </w:tcPr>
          <w:p>
            <w:pPr>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如果“直接认定”，请写明认定依据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77" w:type="dxa"/>
            <w:vAlign w:val="center"/>
          </w:tcPr>
          <w:p>
            <w:pPr>
              <w:jc w:val="center"/>
              <w:rPr>
                <w:rFonts w:ascii="FangSong_GB2312" w:hAnsi="宋体" w:eastAsia="FangSong_GB2312" w:cs="宋体"/>
                <w:kern w:val="0"/>
                <w:sz w:val="24"/>
                <w:szCs w:val="24"/>
              </w:rPr>
            </w:pPr>
          </w:p>
        </w:tc>
        <w:tc>
          <w:tcPr>
            <w:tcW w:w="872" w:type="dxa"/>
            <w:vAlign w:val="center"/>
          </w:tcPr>
          <w:p>
            <w:pPr>
              <w:jc w:val="center"/>
              <w:rPr>
                <w:rFonts w:ascii="FangSong_GB2312" w:hAnsi="宋体" w:eastAsia="FangSong_GB2312" w:cs="宋体"/>
                <w:kern w:val="0"/>
                <w:sz w:val="24"/>
                <w:szCs w:val="24"/>
              </w:rPr>
            </w:pPr>
          </w:p>
        </w:tc>
        <w:tc>
          <w:tcPr>
            <w:tcW w:w="900" w:type="dxa"/>
            <w:vAlign w:val="center"/>
          </w:tcPr>
          <w:p>
            <w:pPr>
              <w:jc w:val="center"/>
              <w:rPr>
                <w:rFonts w:ascii="FangSong_GB2312" w:hAnsi="宋体" w:eastAsia="FangSong_GB2312" w:cs="宋体"/>
                <w:kern w:val="0"/>
                <w:sz w:val="24"/>
                <w:szCs w:val="24"/>
              </w:rPr>
            </w:pPr>
          </w:p>
        </w:tc>
        <w:tc>
          <w:tcPr>
            <w:tcW w:w="1020" w:type="dxa"/>
            <w:vAlign w:val="center"/>
          </w:tcPr>
          <w:p>
            <w:pPr>
              <w:jc w:val="center"/>
              <w:rPr>
                <w:rFonts w:ascii="FangSong_GB2312" w:hAnsi="宋体" w:eastAsia="FangSong_GB2312" w:cs="宋体"/>
                <w:kern w:val="0"/>
                <w:sz w:val="24"/>
                <w:szCs w:val="24"/>
              </w:rPr>
            </w:pPr>
          </w:p>
        </w:tc>
        <w:tc>
          <w:tcPr>
            <w:tcW w:w="97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960" w:type="dxa"/>
            <w:vAlign w:val="center"/>
          </w:tcPr>
          <w:p>
            <w:pPr>
              <w:jc w:val="center"/>
              <w:rPr>
                <w:rFonts w:ascii="FangSong_GB2312" w:hAnsi="宋体" w:eastAsia="FangSong_GB2312" w:cs="宋体"/>
                <w:kern w:val="0"/>
                <w:sz w:val="24"/>
                <w:szCs w:val="24"/>
              </w:rPr>
            </w:pPr>
          </w:p>
        </w:tc>
        <w:tc>
          <w:tcPr>
            <w:tcW w:w="82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77" w:type="dxa"/>
            <w:vAlign w:val="center"/>
          </w:tcPr>
          <w:p>
            <w:pPr>
              <w:jc w:val="center"/>
              <w:rPr>
                <w:rFonts w:ascii="FangSong_GB2312" w:hAnsi="宋体" w:eastAsia="FangSong_GB2312" w:cs="宋体"/>
                <w:kern w:val="0"/>
                <w:sz w:val="24"/>
                <w:szCs w:val="24"/>
              </w:rPr>
            </w:pPr>
          </w:p>
        </w:tc>
        <w:tc>
          <w:tcPr>
            <w:tcW w:w="872" w:type="dxa"/>
            <w:vAlign w:val="center"/>
          </w:tcPr>
          <w:p>
            <w:pPr>
              <w:jc w:val="center"/>
              <w:rPr>
                <w:rFonts w:ascii="FangSong_GB2312" w:hAnsi="宋体" w:eastAsia="FangSong_GB2312" w:cs="宋体"/>
                <w:kern w:val="0"/>
                <w:sz w:val="24"/>
                <w:szCs w:val="24"/>
              </w:rPr>
            </w:pPr>
          </w:p>
        </w:tc>
        <w:tc>
          <w:tcPr>
            <w:tcW w:w="900" w:type="dxa"/>
            <w:vAlign w:val="center"/>
          </w:tcPr>
          <w:p>
            <w:pPr>
              <w:jc w:val="center"/>
              <w:rPr>
                <w:rFonts w:ascii="FangSong_GB2312" w:hAnsi="宋体" w:eastAsia="FangSong_GB2312" w:cs="宋体"/>
                <w:kern w:val="0"/>
                <w:sz w:val="24"/>
                <w:szCs w:val="24"/>
              </w:rPr>
            </w:pPr>
          </w:p>
        </w:tc>
        <w:tc>
          <w:tcPr>
            <w:tcW w:w="1020" w:type="dxa"/>
            <w:vAlign w:val="center"/>
          </w:tcPr>
          <w:p>
            <w:pPr>
              <w:jc w:val="center"/>
              <w:rPr>
                <w:rFonts w:ascii="FangSong_GB2312" w:hAnsi="宋体" w:eastAsia="FangSong_GB2312" w:cs="宋体"/>
                <w:kern w:val="0"/>
                <w:sz w:val="24"/>
                <w:szCs w:val="24"/>
              </w:rPr>
            </w:pPr>
          </w:p>
        </w:tc>
        <w:tc>
          <w:tcPr>
            <w:tcW w:w="97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960" w:type="dxa"/>
            <w:vAlign w:val="center"/>
          </w:tcPr>
          <w:p>
            <w:pPr>
              <w:jc w:val="center"/>
              <w:rPr>
                <w:rFonts w:ascii="FangSong_GB2312" w:hAnsi="宋体" w:eastAsia="FangSong_GB2312" w:cs="宋体"/>
                <w:kern w:val="0"/>
                <w:sz w:val="24"/>
                <w:szCs w:val="24"/>
              </w:rPr>
            </w:pPr>
          </w:p>
        </w:tc>
        <w:tc>
          <w:tcPr>
            <w:tcW w:w="82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77" w:type="dxa"/>
            <w:vAlign w:val="center"/>
          </w:tcPr>
          <w:p>
            <w:pPr>
              <w:jc w:val="center"/>
              <w:rPr>
                <w:rFonts w:ascii="FangSong_GB2312" w:hAnsi="宋体" w:eastAsia="FangSong_GB2312" w:cs="宋体"/>
                <w:kern w:val="0"/>
                <w:sz w:val="24"/>
                <w:szCs w:val="24"/>
              </w:rPr>
            </w:pPr>
          </w:p>
        </w:tc>
        <w:tc>
          <w:tcPr>
            <w:tcW w:w="872" w:type="dxa"/>
            <w:vAlign w:val="center"/>
          </w:tcPr>
          <w:p>
            <w:pPr>
              <w:jc w:val="center"/>
              <w:rPr>
                <w:rFonts w:ascii="FangSong_GB2312" w:hAnsi="宋体" w:eastAsia="FangSong_GB2312" w:cs="宋体"/>
                <w:kern w:val="0"/>
                <w:sz w:val="24"/>
                <w:szCs w:val="24"/>
              </w:rPr>
            </w:pPr>
          </w:p>
        </w:tc>
        <w:tc>
          <w:tcPr>
            <w:tcW w:w="900" w:type="dxa"/>
            <w:vAlign w:val="center"/>
          </w:tcPr>
          <w:p>
            <w:pPr>
              <w:jc w:val="center"/>
              <w:rPr>
                <w:rFonts w:ascii="FangSong_GB2312" w:hAnsi="宋体" w:eastAsia="FangSong_GB2312" w:cs="宋体"/>
                <w:kern w:val="0"/>
                <w:sz w:val="24"/>
                <w:szCs w:val="24"/>
              </w:rPr>
            </w:pPr>
          </w:p>
        </w:tc>
        <w:tc>
          <w:tcPr>
            <w:tcW w:w="1020" w:type="dxa"/>
            <w:vAlign w:val="center"/>
          </w:tcPr>
          <w:p>
            <w:pPr>
              <w:jc w:val="center"/>
              <w:rPr>
                <w:rFonts w:ascii="FangSong_GB2312" w:hAnsi="宋体" w:eastAsia="FangSong_GB2312" w:cs="宋体"/>
                <w:kern w:val="0"/>
                <w:sz w:val="24"/>
                <w:szCs w:val="24"/>
              </w:rPr>
            </w:pPr>
          </w:p>
        </w:tc>
        <w:tc>
          <w:tcPr>
            <w:tcW w:w="97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960" w:type="dxa"/>
            <w:vAlign w:val="center"/>
          </w:tcPr>
          <w:p>
            <w:pPr>
              <w:jc w:val="center"/>
              <w:rPr>
                <w:rFonts w:ascii="FangSong_GB2312" w:hAnsi="宋体" w:eastAsia="FangSong_GB2312" w:cs="宋体"/>
                <w:kern w:val="0"/>
                <w:sz w:val="24"/>
                <w:szCs w:val="24"/>
              </w:rPr>
            </w:pPr>
          </w:p>
        </w:tc>
        <w:tc>
          <w:tcPr>
            <w:tcW w:w="825" w:type="dxa"/>
            <w:vAlign w:val="center"/>
          </w:tcPr>
          <w:p>
            <w:pPr>
              <w:jc w:val="center"/>
              <w:rPr>
                <w:rFonts w:ascii="FangSong_GB2312" w:hAnsi="宋体" w:eastAsia="FangSong_GB2312" w:cs="宋体"/>
                <w:kern w:val="0"/>
                <w:sz w:val="24"/>
                <w:szCs w:val="24"/>
              </w:rPr>
            </w:pPr>
          </w:p>
        </w:tc>
        <w:tc>
          <w:tcPr>
            <w:tcW w:w="1050"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c>
          <w:tcPr>
            <w:tcW w:w="885" w:type="dxa"/>
            <w:vAlign w:val="center"/>
          </w:tcPr>
          <w:p>
            <w:pPr>
              <w:jc w:val="center"/>
              <w:rPr>
                <w:rFonts w:ascii="FangSong_GB2312" w:hAnsi="宋体" w:eastAsia="FangSong_GB2312" w:cs="宋体"/>
                <w:kern w:val="0"/>
                <w:sz w:val="24"/>
                <w:szCs w:val="24"/>
              </w:rPr>
            </w:pPr>
          </w:p>
        </w:tc>
      </w:tr>
    </w:tbl>
    <w:p>
      <w:pPr>
        <w:rPr>
          <w:rFonts w:ascii="FangSong_GB2312" w:hAnsi="宋体" w:eastAsia="FangSong_GB2312" w:cs="宋体"/>
          <w:kern w:val="0"/>
          <w:sz w:val="24"/>
          <w:szCs w:val="24"/>
        </w:rPr>
      </w:pPr>
    </w:p>
    <w:p>
      <w:pPr>
        <w:widowControl/>
        <w:spacing w:line="580" w:lineRule="exact"/>
        <w:ind w:firstLine="6480" w:firstLineChars="2700"/>
        <w:rPr>
          <w:rFonts w:ascii="FangSong_GB2312" w:eastAsia="FangSong_GB2312" w:cs="宋体" w:hAnsiTheme="minorEastAsia"/>
          <w:color w:val="000000"/>
          <w:kern w:val="0"/>
          <w:sz w:val="24"/>
          <w:szCs w:val="24"/>
        </w:rPr>
      </w:pPr>
      <w:r>
        <w:rPr>
          <w:rFonts w:hint="eastAsia" w:ascii="FangSong_GB2312" w:eastAsia="FangSong_GB2312" w:cs="宋体" w:hAnsiTheme="minorEastAsia"/>
          <w:color w:val="000000"/>
          <w:kern w:val="0"/>
          <w:sz w:val="24"/>
          <w:szCs w:val="24"/>
        </w:rPr>
        <w:t>教学院长签字：</w:t>
      </w:r>
    </w:p>
    <w:p>
      <w:pPr>
        <w:widowControl/>
        <w:spacing w:line="580" w:lineRule="exact"/>
        <w:ind w:firstLine="6480" w:firstLineChars="2700"/>
        <w:rPr>
          <w:rFonts w:ascii="FangSong_GB2312" w:eastAsia="FangSong_GB2312" w:cs="宋体" w:hAnsiTheme="minorEastAsia"/>
          <w:color w:val="000000"/>
          <w:kern w:val="0"/>
          <w:sz w:val="24"/>
          <w:szCs w:val="24"/>
        </w:rPr>
      </w:pPr>
      <w:r>
        <w:rPr>
          <w:rFonts w:hint="eastAsia" w:ascii="FangSong_GB2312" w:eastAsia="FangSong_GB2312" w:cs="宋体" w:hAnsiTheme="minorEastAsia"/>
          <w:kern w:val="0"/>
          <w:sz w:val="24"/>
          <w:szCs w:val="24"/>
        </w:rPr>
        <w:t>_______</w:t>
      </w:r>
      <w:r>
        <w:rPr>
          <w:rFonts w:hint="eastAsia" w:ascii="FangSong_GB2312" w:eastAsia="FangSong_GB2312" w:cs="宋体" w:hAnsiTheme="minorEastAsia"/>
          <w:color w:val="000000"/>
          <w:kern w:val="0"/>
          <w:sz w:val="24"/>
          <w:szCs w:val="24"/>
        </w:rPr>
        <w:t>学院（盖章）</w:t>
      </w:r>
    </w:p>
    <w:p>
      <w:pPr>
        <w:widowControl/>
        <w:spacing w:line="580" w:lineRule="exact"/>
        <w:rPr>
          <w:rFonts w:ascii="FangSong_GB2312" w:hAnsi="仿宋" w:eastAsia="FangSong_GB2312" w:cs="宋体"/>
          <w:color w:val="000000"/>
          <w:kern w:val="0"/>
          <w:sz w:val="24"/>
          <w:szCs w:val="24"/>
        </w:rPr>
      </w:pPr>
    </w:p>
    <w:p>
      <w:pPr>
        <w:jc w:val="center"/>
        <w:rPr>
          <w:rFonts w:ascii="FangSong_GB2312" w:eastAsia="FangSong_GB2312" w:cs="宋体" w:hAnsiTheme="minorEastAsia"/>
          <w:kern w:val="0"/>
          <w:sz w:val="24"/>
          <w:szCs w:val="24"/>
        </w:rPr>
      </w:pPr>
    </w:p>
    <w:p>
      <w:pPr>
        <w:jc w:val="center"/>
        <w:rPr>
          <w:rFonts w:ascii="FangSong_GB2312" w:hAnsi="宋体" w:eastAsia="FangSong_GB2312" w:cs="宋体"/>
          <w:kern w:val="0"/>
          <w:sz w:val="24"/>
          <w:szCs w:val="24"/>
        </w:rPr>
      </w:pPr>
      <w:r>
        <w:rPr>
          <w:rFonts w:hint="eastAsia" w:ascii="FangSong_GB2312" w:eastAsia="FangSong_GB2312" w:cs="宋体" w:hAnsiTheme="minorEastAsia"/>
          <w:kern w:val="0"/>
          <w:sz w:val="24"/>
          <w:szCs w:val="24"/>
        </w:rPr>
        <w:t>表2 _______</w:t>
      </w:r>
      <w:r>
        <w:rPr>
          <w:rFonts w:hint="eastAsia" w:ascii="FangSong_GB2312" w:hAnsi="宋体" w:eastAsia="FangSong_GB2312" w:cs="宋体"/>
          <w:kern w:val="0"/>
          <w:sz w:val="24"/>
          <w:szCs w:val="24"/>
        </w:rPr>
        <w:t>学院优秀教学管理奖推荐名单汇总表</w:t>
      </w:r>
    </w:p>
    <w:p>
      <w:pPr>
        <w:jc w:val="left"/>
        <w:rPr>
          <w:rFonts w:ascii="FangSong_GB2312" w:hAnsi="宋体" w:eastAsia="FangSong_GB2312" w:cs="宋体"/>
          <w:kern w:val="0"/>
          <w:sz w:val="24"/>
          <w:szCs w:val="24"/>
        </w:rPr>
      </w:pPr>
      <w:r>
        <w:rPr>
          <w:rFonts w:hint="eastAsia" w:ascii="FangSong_GB2312" w:hAnsi="宋体" w:eastAsia="FangSong_GB2312" w:cs="宋体"/>
          <w:b/>
          <w:kern w:val="0"/>
          <w:sz w:val="24"/>
          <w:szCs w:val="24"/>
        </w:rPr>
        <w:t>说明</w:t>
      </w:r>
      <w:r>
        <w:rPr>
          <w:rFonts w:hint="eastAsia" w:ascii="FangSong_GB2312" w:hAnsi="宋体" w:eastAsia="FangSong_GB2312" w:cs="宋体"/>
          <w:kern w:val="0"/>
          <w:sz w:val="24"/>
          <w:szCs w:val="24"/>
        </w:rPr>
        <w:t>：请各学院参照优秀教学管理奖评选标准（附件5）的指标要求，推荐优秀教学管理奖的名单。</w:t>
      </w:r>
    </w:p>
    <w:tbl>
      <w:tblPr>
        <w:tblStyle w:val="5"/>
        <w:tblpPr w:leftFromText="180" w:rightFromText="180" w:vertAnchor="text" w:horzAnchor="page" w:tblpXSpec="center" w:tblpY="577"/>
        <w:tblOverlap w:val="never"/>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772"/>
        <w:gridCol w:w="1830"/>
        <w:gridCol w:w="1830"/>
        <w:gridCol w:w="156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118"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序号</w:t>
            </w:r>
          </w:p>
        </w:tc>
        <w:tc>
          <w:tcPr>
            <w:tcW w:w="1772"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推荐人员</w:t>
            </w:r>
          </w:p>
        </w:tc>
        <w:tc>
          <w:tcPr>
            <w:tcW w:w="183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负责岗位</w:t>
            </w:r>
          </w:p>
        </w:tc>
        <w:tc>
          <w:tcPr>
            <w:tcW w:w="183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岗位任职时间</w:t>
            </w:r>
          </w:p>
        </w:tc>
        <w:tc>
          <w:tcPr>
            <w:tcW w:w="156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工作主要对接部门和人员</w:t>
            </w:r>
          </w:p>
        </w:tc>
        <w:tc>
          <w:tcPr>
            <w:tcW w:w="1560" w:type="dxa"/>
            <w:vAlign w:val="center"/>
          </w:tcPr>
          <w:p>
            <w:pPr>
              <w:jc w:val="center"/>
              <w:rPr>
                <w:rFonts w:ascii="FangSong_GB2312" w:hAnsi="宋体" w:eastAsia="FangSong_GB2312" w:cs="宋体"/>
                <w:kern w:val="0"/>
                <w:sz w:val="24"/>
                <w:szCs w:val="24"/>
              </w:rPr>
            </w:pPr>
            <w:r>
              <w:rPr>
                <w:rFonts w:hint="eastAsia" w:ascii="FangSong_GB2312" w:hAnsi="宋体" w:eastAsia="FangSong_GB2312" w:cs="宋体"/>
                <w:kern w:val="0"/>
                <w:sz w:val="24"/>
                <w:szCs w:val="24"/>
              </w:rPr>
              <w:t>教学管理工作评价学院给分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8" w:type="dxa"/>
            <w:vAlign w:val="center"/>
          </w:tcPr>
          <w:p>
            <w:pPr>
              <w:jc w:val="center"/>
              <w:rPr>
                <w:rFonts w:ascii="FangSong_GB2312" w:hAnsi="宋体" w:eastAsia="FangSong_GB2312" w:cs="宋体"/>
                <w:kern w:val="0"/>
                <w:sz w:val="24"/>
                <w:szCs w:val="24"/>
              </w:rPr>
            </w:pPr>
          </w:p>
        </w:tc>
        <w:tc>
          <w:tcPr>
            <w:tcW w:w="1772" w:type="dxa"/>
            <w:vAlign w:val="center"/>
          </w:tcPr>
          <w:p>
            <w:pPr>
              <w:jc w:val="center"/>
              <w:rPr>
                <w:rFonts w:ascii="FangSong_GB2312" w:hAnsi="宋体" w:eastAsia="FangSong_GB2312" w:cs="宋体"/>
                <w:kern w:val="0"/>
                <w:sz w:val="24"/>
                <w:szCs w:val="24"/>
              </w:rPr>
            </w:pPr>
          </w:p>
        </w:tc>
        <w:tc>
          <w:tcPr>
            <w:tcW w:w="1830" w:type="dxa"/>
            <w:vAlign w:val="center"/>
          </w:tcPr>
          <w:p>
            <w:pPr>
              <w:jc w:val="center"/>
              <w:rPr>
                <w:rFonts w:ascii="FangSong_GB2312" w:hAnsi="宋体" w:eastAsia="FangSong_GB2312" w:cs="宋体"/>
                <w:kern w:val="0"/>
                <w:sz w:val="24"/>
                <w:szCs w:val="24"/>
              </w:rPr>
            </w:pPr>
          </w:p>
        </w:tc>
        <w:tc>
          <w:tcPr>
            <w:tcW w:w="1830" w:type="dxa"/>
            <w:vAlign w:val="center"/>
          </w:tcPr>
          <w:p>
            <w:pPr>
              <w:jc w:val="center"/>
              <w:rPr>
                <w:rFonts w:ascii="FangSong_GB2312" w:hAnsi="宋体" w:eastAsia="FangSong_GB2312" w:cs="宋体"/>
                <w:kern w:val="0"/>
                <w:sz w:val="24"/>
                <w:szCs w:val="24"/>
              </w:rPr>
            </w:pPr>
          </w:p>
        </w:tc>
        <w:tc>
          <w:tcPr>
            <w:tcW w:w="1560" w:type="dxa"/>
            <w:vAlign w:val="center"/>
          </w:tcPr>
          <w:p>
            <w:pPr>
              <w:jc w:val="center"/>
              <w:rPr>
                <w:rFonts w:ascii="FangSong_GB2312" w:hAnsi="宋体" w:eastAsia="FangSong_GB2312" w:cs="宋体"/>
                <w:kern w:val="0"/>
                <w:sz w:val="24"/>
                <w:szCs w:val="24"/>
              </w:rPr>
            </w:pPr>
          </w:p>
        </w:tc>
        <w:tc>
          <w:tcPr>
            <w:tcW w:w="1560" w:type="dxa"/>
            <w:vAlign w:val="center"/>
          </w:tcPr>
          <w:p>
            <w:pPr>
              <w:jc w:val="center"/>
              <w:rPr>
                <w:rFonts w:ascii="FangSong_GB2312" w:hAnsi="宋体" w:eastAsia="FangSong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118" w:type="dxa"/>
            <w:vAlign w:val="center"/>
          </w:tcPr>
          <w:p>
            <w:pPr>
              <w:jc w:val="center"/>
              <w:rPr>
                <w:rFonts w:ascii="FangSong_GB2312" w:hAnsi="宋体" w:eastAsia="FangSong_GB2312" w:cs="宋体"/>
                <w:kern w:val="0"/>
                <w:sz w:val="24"/>
                <w:szCs w:val="24"/>
              </w:rPr>
            </w:pPr>
          </w:p>
        </w:tc>
        <w:tc>
          <w:tcPr>
            <w:tcW w:w="1772" w:type="dxa"/>
            <w:vAlign w:val="center"/>
          </w:tcPr>
          <w:p>
            <w:pPr>
              <w:jc w:val="center"/>
              <w:rPr>
                <w:rFonts w:ascii="FangSong_GB2312" w:hAnsi="宋体" w:eastAsia="FangSong_GB2312" w:cs="宋体"/>
                <w:kern w:val="0"/>
                <w:sz w:val="24"/>
                <w:szCs w:val="24"/>
              </w:rPr>
            </w:pPr>
          </w:p>
        </w:tc>
        <w:tc>
          <w:tcPr>
            <w:tcW w:w="1830" w:type="dxa"/>
            <w:vAlign w:val="center"/>
          </w:tcPr>
          <w:p>
            <w:pPr>
              <w:jc w:val="center"/>
              <w:rPr>
                <w:rFonts w:ascii="FangSong_GB2312" w:hAnsi="宋体" w:eastAsia="FangSong_GB2312" w:cs="宋体"/>
                <w:kern w:val="0"/>
                <w:sz w:val="24"/>
                <w:szCs w:val="24"/>
              </w:rPr>
            </w:pPr>
          </w:p>
        </w:tc>
        <w:tc>
          <w:tcPr>
            <w:tcW w:w="1830" w:type="dxa"/>
            <w:vAlign w:val="center"/>
          </w:tcPr>
          <w:p>
            <w:pPr>
              <w:jc w:val="center"/>
              <w:rPr>
                <w:rFonts w:ascii="FangSong_GB2312" w:hAnsi="宋体" w:eastAsia="FangSong_GB2312" w:cs="宋体"/>
                <w:kern w:val="0"/>
                <w:sz w:val="24"/>
                <w:szCs w:val="24"/>
              </w:rPr>
            </w:pPr>
          </w:p>
        </w:tc>
        <w:tc>
          <w:tcPr>
            <w:tcW w:w="1560" w:type="dxa"/>
            <w:vAlign w:val="center"/>
          </w:tcPr>
          <w:p>
            <w:pPr>
              <w:jc w:val="center"/>
              <w:rPr>
                <w:rFonts w:ascii="FangSong_GB2312" w:hAnsi="宋体" w:eastAsia="FangSong_GB2312" w:cs="宋体"/>
                <w:kern w:val="0"/>
                <w:sz w:val="24"/>
                <w:szCs w:val="24"/>
              </w:rPr>
            </w:pPr>
          </w:p>
        </w:tc>
        <w:tc>
          <w:tcPr>
            <w:tcW w:w="1560" w:type="dxa"/>
            <w:vAlign w:val="center"/>
          </w:tcPr>
          <w:p>
            <w:pPr>
              <w:jc w:val="center"/>
              <w:rPr>
                <w:rFonts w:ascii="FangSong_GB2312" w:hAnsi="宋体" w:eastAsia="FangSong_GB2312" w:cs="宋体"/>
                <w:kern w:val="0"/>
                <w:sz w:val="24"/>
                <w:szCs w:val="24"/>
              </w:rPr>
            </w:pPr>
          </w:p>
        </w:tc>
      </w:tr>
    </w:tbl>
    <w:p>
      <w:pPr>
        <w:widowControl/>
        <w:spacing w:line="580" w:lineRule="exact"/>
        <w:rPr>
          <w:rFonts w:ascii="FangSong_GB2312" w:eastAsia="FangSong_GB2312" w:cs="宋体" w:hAnsiTheme="minorEastAsia"/>
          <w:color w:val="000000"/>
          <w:kern w:val="0"/>
          <w:sz w:val="24"/>
          <w:szCs w:val="24"/>
        </w:rPr>
      </w:pPr>
    </w:p>
    <w:p>
      <w:pPr>
        <w:widowControl/>
        <w:spacing w:line="580" w:lineRule="exact"/>
        <w:ind w:firstLine="6480" w:firstLineChars="2700"/>
        <w:rPr>
          <w:rFonts w:ascii="FangSong_GB2312" w:eastAsia="FangSong_GB2312" w:cs="宋体" w:hAnsiTheme="minorEastAsia"/>
          <w:color w:val="000000"/>
          <w:kern w:val="0"/>
          <w:sz w:val="24"/>
          <w:szCs w:val="24"/>
        </w:rPr>
      </w:pPr>
      <w:r>
        <w:rPr>
          <w:rFonts w:hint="eastAsia" w:ascii="FangSong_GB2312" w:eastAsia="FangSong_GB2312" w:cs="宋体" w:hAnsiTheme="minorEastAsia"/>
          <w:color w:val="000000"/>
          <w:kern w:val="0"/>
          <w:sz w:val="24"/>
          <w:szCs w:val="24"/>
        </w:rPr>
        <w:t>教学院长签字：</w:t>
      </w:r>
    </w:p>
    <w:p>
      <w:pPr>
        <w:widowControl/>
        <w:spacing w:line="580" w:lineRule="exact"/>
        <w:ind w:firstLine="6480" w:firstLineChars="2700"/>
        <w:rPr>
          <w:rFonts w:ascii="FangSong_GB2312" w:eastAsia="FangSong_GB2312" w:cs="宋体" w:hAnsiTheme="minorEastAsia"/>
          <w:color w:val="000000"/>
          <w:kern w:val="0"/>
          <w:sz w:val="24"/>
          <w:szCs w:val="24"/>
        </w:rPr>
      </w:pPr>
      <w:r>
        <w:rPr>
          <w:rFonts w:hint="eastAsia" w:ascii="FangSong_GB2312" w:eastAsia="FangSong_GB2312" w:cs="宋体" w:hAnsiTheme="minorEastAsia"/>
          <w:kern w:val="0"/>
          <w:sz w:val="24"/>
          <w:szCs w:val="24"/>
        </w:rPr>
        <w:t>_______</w:t>
      </w:r>
      <w:r>
        <w:rPr>
          <w:rFonts w:hint="eastAsia" w:ascii="FangSong_GB2312" w:eastAsia="FangSong_GB2312" w:cs="宋体" w:hAnsiTheme="minorEastAsia"/>
          <w:color w:val="000000"/>
          <w:kern w:val="0"/>
          <w:sz w:val="24"/>
          <w:szCs w:val="24"/>
        </w:rPr>
        <w:t>学院（盖章）</w:t>
      </w:r>
    </w:p>
    <w:p>
      <w:pPr>
        <w:widowControl/>
        <w:spacing w:line="580" w:lineRule="exact"/>
        <w:rPr>
          <w:rFonts w:ascii="FangSong_GB2312" w:hAnsi="仿宋" w:eastAsia="FangSong_GB2312" w:cs="宋体"/>
          <w:color w:val="000000"/>
          <w:kern w:val="0"/>
          <w:sz w:val="24"/>
          <w:szCs w:val="24"/>
        </w:rPr>
      </w:pPr>
    </w:p>
    <w:p>
      <w:pPr>
        <w:widowControl/>
        <w:spacing w:line="580" w:lineRule="exac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附件4</w:t>
      </w:r>
    </w:p>
    <w:p>
      <w:pPr>
        <w:widowControl/>
        <w:spacing w:line="580" w:lineRule="exact"/>
        <w:rPr>
          <w:rFonts w:ascii="FangSong_GB2312" w:hAnsi="仿宋" w:eastAsia="FangSong_GB2312" w:cs="宋体"/>
          <w:color w:val="000000"/>
          <w:kern w:val="0"/>
          <w:sz w:val="24"/>
          <w:szCs w:val="24"/>
        </w:rPr>
      </w:pPr>
    </w:p>
    <w:p>
      <w:pPr>
        <w:widowControl/>
        <w:spacing w:line="300" w:lineRule="exact"/>
        <w:jc w:val="center"/>
        <w:rPr>
          <w:rFonts w:ascii="FangSong_GB2312" w:hAnsi="仿宋" w:eastAsia="FangSong_GB2312" w:cs="宋体"/>
          <w:b/>
          <w:color w:val="000000"/>
          <w:kern w:val="0"/>
          <w:sz w:val="24"/>
          <w:szCs w:val="24"/>
        </w:rPr>
      </w:pPr>
      <w:r>
        <w:rPr>
          <w:rFonts w:hint="eastAsia" w:ascii="FangSong_GB2312" w:hAnsi="仿宋" w:eastAsia="FangSong_GB2312" w:cs="宋体"/>
          <w:b/>
          <w:color w:val="000000"/>
          <w:kern w:val="0"/>
          <w:sz w:val="24"/>
          <w:szCs w:val="24"/>
        </w:rPr>
        <w:t>优秀教学奖评选标准</w:t>
      </w:r>
    </w:p>
    <w:tbl>
      <w:tblPr>
        <w:tblStyle w:val="4"/>
        <w:tblW w:w="9600" w:type="dxa"/>
        <w:jc w:val="center"/>
        <w:tblLayout w:type="fixed"/>
        <w:tblCellMar>
          <w:top w:w="0" w:type="dxa"/>
          <w:left w:w="108" w:type="dxa"/>
          <w:bottom w:w="0" w:type="dxa"/>
          <w:right w:w="108" w:type="dxa"/>
        </w:tblCellMar>
      </w:tblPr>
      <w:tblGrid>
        <w:gridCol w:w="705"/>
        <w:gridCol w:w="1203"/>
        <w:gridCol w:w="942"/>
        <w:gridCol w:w="6750"/>
      </w:tblGrid>
      <w:tr>
        <w:tblPrEx>
          <w:tblCellMar>
            <w:top w:w="0" w:type="dxa"/>
            <w:left w:w="108" w:type="dxa"/>
            <w:bottom w:w="0" w:type="dxa"/>
            <w:right w:w="108" w:type="dxa"/>
          </w:tblCellMar>
        </w:tblPrEx>
        <w:trPr>
          <w:trHeight w:val="705" w:hRule="atLeast"/>
          <w:jc w:val="center"/>
        </w:trPr>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FangSong_GB2312" w:hAnsi="仿宋" w:eastAsia="FangSong_GB2312" w:cs="宋体"/>
                <w:b/>
                <w:bCs/>
                <w:color w:val="000000"/>
                <w:kern w:val="0"/>
                <w:sz w:val="24"/>
                <w:szCs w:val="24"/>
              </w:rPr>
            </w:pPr>
            <w:r>
              <w:rPr>
                <w:rFonts w:hint="eastAsia" w:ascii="FangSong_GB2312" w:hAnsi="仿宋" w:eastAsia="FangSong_GB2312" w:cs="宋体"/>
                <w:b/>
                <w:bCs/>
                <w:color w:val="000000"/>
                <w:kern w:val="0"/>
                <w:sz w:val="24"/>
                <w:szCs w:val="24"/>
              </w:rPr>
              <w:t>一级指标</w:t>
            </w:r>
          </w:p>
        </w:tc>
        <w:tc>
          <w:tcPr>
            <w:tcW w:w="1203"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FangSong_GB2312" w:hAnsi="仿宋" w:eastAsia="FangSong_GB2312" w:cs="宋体"/>
                <w:b/>
                <w:bCs/>
                <w:color w:val="000000"/>
                <w:kern w:val="0"/>
                <w:sz w:val="24"/>
                <w:szCs w:val="24"/>
              </w:rPr>
            </w:pPr>
            <w:r>
              <w:rPr>
                <w:rFonts w:hint="eastAsia" w:ascii="FangSong_GB2312" w:hAnsi="仿宋" w:eastAsia="FangSong_GB2312" w:cs="宋体"/>
                <w:b/>
                <w:bCs/>
                <w:color w:val="000000"/>
                <w:kern w:val="0"/>
                <w:sz w:val="24"/>
                <w:szCs w:val="24"/>
              </w:rPr>
              <w:t>二级指标</w:t>
            </w:r>
          </w:p>
        </w:tc>
        <w:tc>
          <w:tcPr>
            <w:tcW w:w="942"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FangSong_GB2312" w:hAnsi="仿宋" w:eastAsia="FangSong_GB2312" w:cs="宋体"/>
                <w:b/>
                <w:bCs/>
                <w:color w:val="000000"/>
                <w:kern w:val="0"/>
                <w:sz w:val="24"/>
                <w:szCs w:val="24"/>
              </w:rPr>
            </w:pPr>
            <w:r>
              <w:rPr>
                <w:rFonts w:hint="eastAsia" w:ascii="FangSong_GB2312" w:hAnsi="仿宋" w:eastAsia="FangSong_GB2312" w:cs="宋体"/>
                <w:b/>
                <w:bCs/>
                <w:color w:val="000000"/>
                <w:kern w:val="0"/>
                <w:sz w:val="24"/>
                <w:szCs w:val="24"/>
              </w:rPr>
              <w:t>分值</w:t>
            </w:r>
          </w:p>
        </w:tc>
        <w:tc>
          <w:tcPr>
            <w:tcW w:w="6750"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FangSong_GB2312" w:hAnsi="仿宋" w:eastAsia="FangSong_GB2312" w:cs="宋体"/>
                <w:b/>
                <w:bCs/>
                <w:color w:val="000000"/>
                <w:kern w:val="0"/>
                <w:sz w:val="24"/>
                <w:szCs w:val="24"/>
              </w:rPr>
            </w:pPr>
            <w:r>
              <w:rPr>
                <w:rFonts w:hint="eastAsia" w:ascii="FangSong_GB2312" w:hAnsi="仿宋" w:eastAsia="FangSong_GB2312" w:cs="宋体"/>
                <w:b/>
                <w:bCs/>
                <w:color w:val="000000"/>
                <w:kern w:val="0"/>
                <w:sz w:val="24"/>
                <w:szCs w:val="24"/>
              </w:rPr>
              <w:t>评分要求</w:t>
            </w:r>
          </w:p>
        </w:tc>
      </w:tr>
      <w:tr>
        <w:tblPrEx>
          <w:tblCellMar>
            <w:top w:w="0" w:type="dxa"/>
            <w:left w:w="108" w:type="dxa"/>
            <w:bottom w:w="0" w:type="dxa"/>
            <w:right w:w="108" w:type="dxa"/>
          </w:tblCellMar>
        </w:tblPrEx>
        <w:trPr>
          <w:trHeight w:val="705"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教书育人</w:t>
            </w: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学生评教</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15</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当年度学生评教得分高于前40%可以参评该奖项。得分为（（2022-2023-1学期学生评教得分/当学期全校最高分）+（2022-2023-2学期学生评教得分/当学期全校最高分））/2*15。</w:t>
            </w:r>
            <w:r>
              <w:rPr>
                <w:rFonts w:hint="eastAsia" w:ascii="FangSong_GB2312" w:hAnsi="仿宋" w:eastAsia="FangSong_GB2312" w:cs="宋体"/>
                <w:b/>
                <w:color w:val="000000"/>
                <w:kern w:val="0"/>
                <w:sz w:val="24"/>
                <w:szCs w:val="24"/>
              </w:rPr>
              <w:t>此分数由教务处给出并认定。</w:t>
            </w:r>
          </w:p>
        </w:tc>
      </w:tr>
      <w:tr>
        <w:tblPrEx>
          <w:tblCellMar>
            <w:top w:w="0" w:type="dxa"/>
            <w:left w:w="108" w:type="dxa"/>
            <w:bottom w:w="0" w:type="dxa"/>
            <w:right w:w="108" w:type="dxa"/>
          </w:tblCellMar>
        </w:tblPrEx>
        <w:trPr>
          <w:trHeight w:val="70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教学工作量</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5</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能够完成规定的教学工作量且愿意接受学院安排的额外工作得5分。</w:t>
            </w:r>
            <w:r>
              <w:rPr>
                <w:rFonts w:hint="eastAsia" w:ascii="FangSong_GB2312" w:hAnsi="仿宋" w:eastAsia="FangSong_GB2312" w:cs="宋体"/>
                <w:b/>
                <w:color w:val="000000"/>
                <w:kern w:val="0"/>
                <w:sz w:val="24"/>
                <w:szCs w:val="24"/>
              </w:rPr>
              <w:t>此分数由学院给出并认定。</w:t>
            </w:r>
          </w:p>
        </w:tc>
      </w:tr>
      <w:tr>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教学工作质量</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根据老师参与课程建设及课堂教学质量进行打分，参评教师需要提供督导、同行或者领导听课表（三选一），分数90分以上。</w:t>
            </w:r>
            <w:r>
              <w:rPr>
                <w:rFonts w:hint="eastAsia" w:ascii="FangSong_GB2312" w:hAnsi="仿宋" w:eastAsia="FangSong_GB2312" w:cs="宋体"/>
                <w:b/>
                <w:color w:val="000000"/>
                <w:kern w:val="0"/>
                <w:sz w:val="24"/>
                <w:szCs w:val="24"/>
              </w:rPr>
              <w:t>此分数由学院给出并认定。</w:t>
            </w:r>
          </w:p>
        </w:tc>
      </w:tr>
      <w:tr>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指导学生</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指导学生在我校重点支持的A类竞赛中获奖可直接评优；指导学生获我校重点支持的学科竞赛B类一等10分、二等8分、三等6分；C类一等6分、二等4分、三等2分；其它比赛一等2分、二等1分（按竞赛个数计算，同一竞赛中获得多项奖，以最高奖项计算。）不同类别可累计计算，但最高不超过15分。</w:t>
            </w:r>
            <w:r>
              <w:rPr>
                <w:rFonts w:hint="eastAsia" w:ascii="FangSong_GB2312" w:hAnsi="仿宋" w:eastAsia="FangSong_GB2312" w:cs="宋体"/>
                <w:b/>
                <w:color w:val="000000"/>
                <w:kern w:val="0"/>
                <w:sz w:val="24"/>
                <w:szCs w:val="24"/>
              </w:rPr>
              <w:t>此分数由学院给出，创新创业学院认定。</w:t>
            </w:r>
          </w:p>
        </w:tc>
      </w:tr>
      <w:tr>
        <w:tblPrEx>
          <w:tblCellMar>
            <w:top w:w="0" w:type="dxa"/>
            <w:left w:w="108" w:type="dxa"/>
            <w:bottom w:w="0" w:type="dxa"/>
            <w:right w:w="108" w:type="dxa"/>
          </w:tblCellMar>
        </w:tblPrEx>
        <w:trPr>
          <w:trHeight w:val="870"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教学规范</w:t>
            </w: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教学资料</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5</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教学资料完整、按时上网，教学资料质量高，无错误，得5分。</w:t>
            </w:r>
            <w:r>
              <w:rPr>
                <w:rFonts w:hint="eastAsia" w:ascii="FangSong_GB2312" w:hAnsi="仿宋" w:eastAsia="FangSong_GB2312" w:cs="宋体"/>
                <w:b/>
                <w:color w:val="000000"/>
                <w:kern w:val="0"/>
                <w:sz w:val="24"/>
                <w:szCs w:val="24"/>
              </w:rPr>
              <w:t>此分数由学院给出并认定</w:t>
            </w:r>
            <w:r>
              <w:rPr>
                <w:rFonts w:hint="eastAsia" w:ascii="FangSong_GB2312" w:hAnsi="仿宋" w:eastAsia="FangSong_GB2312" w:cs="宋体"/>
                <w:color w:val="000000"/>
                <w:kern w:val="0"/>
                <w:sz w:val="24"/>
                <w:szCs w:val="24"/>
              </w:rPr>
              <w:t>。</w:t>
            </w:r>
          </w:p>
        </w:tc>
      </w:tr>
      <w:tr>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课程改善历程</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2022-2023学年内，按照学校相关文件要求完成课程改善历程，按门计算，每门最高5分，最高累计不超过10分。</w:t>
            </w:r>
            <w:r>
              <w:rPr>
                <w:rFonts w:hint="eastAsia" w:ascii="FangSong_GB2312" w:hAnsi="仿宋" w:eastAsia="FangSong_GB2312" w:cs="宋体"/>
                <w:b/>
                <w:color w:val="000000"/>
                <w:kern w:val="0"/>
                <w:sz w:val="24"/>
                <w:szCs w:val="24"/>
              </w:rPr>
              <w:t>此项分数由教务处给出并认定。</w:t>
            </w:r>
          </w:p>
        </w:tc>
      </w:tr>
      <w:tr>
        <w:tblPrEx>
          <w:tblCellMar>
            <w:top w:w="0" w:type="dxa"/>
            <w:left w:w="108" w:type="dxa"/>
            <w:bottom w:w="0" w:type="dxa"/>
            <w:right w:w="108" w:type="dxa"/>
          </w:tblCellMar>
        </w:tblPrEx>
        <w:trPr>
          <w:trHeight w:val="1020"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奖项荣誉</w:t>
            </w: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教学成果</w:t>
            </w:r>
          </w:p>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与称号</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kern w:val="0"/>
                <w:sz w:val="24"/>
                <w:szCs w:val="24"/>
              </w:rPr>
            </w:pPr>
            <w:r>
              <w:rPr>
                <w:rFonts w:hint="eastAsia" w:ascii="FangSong_GB2312" w:hAnsi="仿宋" w:eastAsia="FangSong_GB2312" w:cs="宋体"/>
                <w:kern w:val="0"/>
                <w:sz w:val="24"/>
                <w:szCs w:val="24"/>
              </w:rPr>
              <w:t>当年受各级党委、政府或人事、教育部门联合表彰，按级别记分：国家级10分、省级8分、校级4分，可累计计算，最高不超过10分。</w:t>
            </w:r>
            <w:r>
              <w:rPr>
                <w:rFonts w:hint="eastAsia" w:ascii="FangSong_GB2312" w:hAnsi="仿宋" w:eastAsia="FangSong_GB2312" w:cs="宋体"/>
                <w:b/>
                <w:kern w:val="0"/>
                <w:sz w:val="24"/>
                <w:szCs w:val="24"/>
              </w:rPr>
              <w:t>此分数由教务处给出并认定。</w:t>
            </w:r>
          </w:p>
        </w:tc>
      </w:tr>
      <w:tr>
        <w:tblPrEx>
          <w:tblCellMar>
            <w:top w:w="0" w:type="dxa"/>
            <w:left w:w="108" w:type="dxa"/>
            <w:bottom w:w="0" w:type="dxa"/>
            <w:right w:w="108" w:type="dxa"/>
          </w:tblCellMar>
        </w:tblPrEx>
        <w:trPr>
          <w:trHeight w:val="1159"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教学竞赛</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当年参加的市级及以上教学竞赛，特等奖6分。一等奖5分，二等奖4分，三等奖3分，优秀奖2分；当年参加的校级教学竞赛：特等奖3分，一等奖2分，二等奖1分。</w:t>
            </w:r>
          </w:p>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不累积计算，</w:t>
            </w:r>
            <w:r>
              <w:rPr>
                <w:rFonts w:hint="eastAsia" w:ascii="FangSong_GB2312" w:hAnsi="仿宋" w:eastAsia="FangSong_GB2312" w:cs="宋体"/>
                <w:b/>
                <w:bCs/>
                <w:color w:val="000000"/>
                <w:kern w:val="0"/>
                <w:sz w:val="24"/>
                <w:szCs w:val="24"/>
              </w:rPr>
              <w:t>此分数</w:t>
            </w:r>
            <w:r>
              <w:rPr>
                <w:rFonts w:hint="eastAsia" w:ascii="FangSong_GB2312" w:hAnsi="仿宋" w:eastAsia="FangSong_GB2312" w:cs="宋体"/>
                <w:b/>
                <w:color w:val="000000"/>
                <w:kern w:val="0"/>
                <w:sz w:val="24"/>
                <w:szCs w:val="24"/>
              </w:rPr>
              <w:t>由教务处给出并认定。</w:t>
            </w:r>
          </w:p>
        </w:tc>
      </w:tr>
      <w:tr>
        <w:tblPrEx>
          <w:tblCellMar>
            <w:top w:w="0" w:type="dxa"/>
            <w:left w:w="108" w:type="dxa"/>
            <w:bottom w:w="0" w:type="dxa"/>
            <w:right w:w="108" w:type="dxa"/>
          </w:tblCellMar>
        </w:tblPrEx>
        <w:trPr>
          <w:trHeight w:val="765"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教学研究</w:t>
            </w: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内涵建设项目（含专业建设、教改项目、课程建设、教材建设、教学团队建设等）</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15</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分数只计算给项目主持人或者团队带头人。按级别记分：国家级15分，省级10分，校级5分。不同类别可累计计算，但最高不超过15分。</w:t>
            </w:r>
            <w:r>
              <w:rPr>
                <w:rFonts w:hint="eastAsia" w:ascii="FangSong_GB2312" w:hAnsi="仿宋" w:eastAsia="FangSong_GB2312" w:cs="宋体"/>
                <w:b/>
                <w:color w:val="000000"/>
                <w:kern w:val="0"/>
                <w:sz w:val="24"/>
                <w:szCs w:val="24"/>
              </w:rPr>
              <w:t>此分数由教务处给出并认定</w:t>
            </w:r>
            <w:r>
              <w:rPr>
                <w:rFonts w:hint="eastAsia" w:ascii="FangSong_GB2312" w:hAnsi="仿宋" w:eastAsia="FangSong_GB2312" w:cs="宋体"/>
                <w:color w:val="000000"/>
                <w:kern w:val="0"/>
                <w:sz w:val="24"/>
                <w:szCs w:val="24"/>
              </w:rPr>
              <w:t>。</w:t>
            </w:r>
          </w:p>
          <w:p>
            <w:pPr>
              <w:widowControl/>
              <w:spacing w:line="500" w:lineRule="exact"/>
              <w:jc w:val="left"/>
              <w:rPr>
                <w:rFonts w:ascii="FangSong_GB2312" w:hAnsi="仿宋" w:eastAsia="FangSong_GB2312" w:cs="宋体"/>
                <w:color w:val="000000"/>
                <w:kern w:val="0"/>
                <w:sz w:val="22"/>
              </w:rPr>
            </w:pPr>
            <w:r>
              <w:rPr>
                <w:rFonts w:hint="eastAsia" w:ascii="FangSong_GB2312" w:hAnsi="仿宋" w:eastAsia="FangSong_GB2312" w:cs="宋体"/>
                <w:color w:val="000000"/>
                <w:kern w:val="0"/>
                <w:sz w:val="22"/>
              </w:rPr>
              <w:t>说明：</w:t>
            </w:r>
          </w:p>
          <w:p>
            <w:pPr>
              <w:widowControl/>
              <w:numPr>
                <w:ilvl w:val="0"/>
                <w:numId w:val="2"/>
              </w:numPr>
              <w:spacing w:line="500" w:lineRule="exact"/>
              <w:jc w:val="left"/>
              <w:rPr>
                <w:rFonts w:ascii="FangSong_GB2312" w:hAnsi="仿宋" w:eastAsia="FangSong_GB2312" w:cs="宋体"/>
                <w:color w:val="000000"/>
                <w:kern w:val="0"/>
                <w:sz w:val="22"/>
              </w:rPr>
            </w:pPr>
            <w:r>
              <w:rPr>
                <w:rFonts w:hint="eastAsia" w:ascii="FangSong_GB2312" w:hAnsi="仿宋" w:eastAsia="FangSong_GB2312" w:cs="宋体"/>
                <w:color w:val="000000"/>
                <w:kern w:val="0"/>
                <w:sz w:val="22"/>
              </w:rPr>
              <w:t>教材以出版为准计分；</w:t>
            </w:r>
          </w:p>
          <w:p>
            <w:pPr>
              <w:widowControl/>
              <w:numPr>
                <w:ilvl w:val="0"/>
                <w:numId w:val="2"/>
              </w:numPr>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2"/>
              </w:rPr>
              <w:t>项目在建设期内只能参评一次。</w:t>
            </w:r>
          </w:p>
          <w:p>
            <w:pPr>
              <w:widowControl/>
              <w:spacing w:line="500" w:lineRule="exact"/>
              <w:jc w:val="left"/>
              <w:rPr>
                <w:rFonts w:ascii="FangSong_GB2312" w:hAnsi="仿宋" w:eastAsia="FangSong_GB2312" w:cs="宋体"/>
                <w:color w:val="000000"/>
                <w:kern w:val="0"/>
                <w:sz w:val="24"/>
                <w:szCs w:val="24"/>
              </w:rPr>
            </w:pPr>
          </w:p>
        </w:tc>
      </w:tr>
      <w:tr>
        <w:tblPrEx>
          <w:tblCellMar>
            <w:top w:w="0" w:type="dxa"/>
            <w:left w:w="108" w:type="dxa"/>
            <w:bottom w:w="0" w:type="dxa"/>
            <w:right w:w="108" w:type="dxa"/>
          </w:tblCellMar>
        </w:tblPrEx>
        <w:trPr>
          <w:trHeight w:val="76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pPr>
              <w:widowControl/>
              <w:jc w:val="left"/>
              <w:rPr>
                <w:rFonts w:ascii="FangSong_GB2312" w:hAnsi="仿宋" w:eastAsia="FangSong_GB2312" w:cs="宋体"/>
                <w:color w:val="000000"/>
                <w:kern w:val="0"/>
                <w:sz w:val="24"/>
                <w:szCs w:val="24"/>
              </w:rPr>
            </w:pP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论文</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10</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当年教育教学类论文发表在SSCI、SCI每篇计10分;</w:t>
            </w:r>
          </w:p>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发表在CPCI、EI、CSSCI、CSCD、南大和北大核心每篇计8分；</w:t>
            </w:r>
          </w:p>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发表在普通期刊（含会议）每篇计3分；</w:t>
            </w:r>
          </w:p>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发表在学报每篇计1分。</w:t>
            </w:r>
          </w:p>
          <w:p>
            <w:pPr>
              <w:widowControl/>
              <w:spacing w:line="500" w:lineRule="exact"/>
              <w:jc w:val="left"/>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不同类别可累计计算，但最高计10分。</w:t>
            </w:r>
            <w:r>
              <w:rPr>
                <w:rFonts w:hint="eastAsia" w:ascii="FangSong_GB2312" w:hAnsi="仿宋" w:eastAsia="FangSong_GB2312" w:cs="宋体"/>
                <w:b/>
                <w:color w:val="000000"/>
                <w:kern w:val="0"/>
                <w:sz w:val="24"/>
                <w:szCs w:val="24"/>
              </w:rPr>
              <w:t>此分数由学院给出并认定，教务处负责抽查审核</w:t>
            </w:r>
            <w:r>
              <w:rPr>
                <w:rFonts w:hint="eastAsia" w:ascii="FangSong_GB2312" w:hAnsi="仿宋" w:eastAsia="FangSong_GB2312" w:cs="宋体"/>
                <w:color w:val="000000"/>
                <w:kern w:val="0"/>
                <w:sz w:val="24"/>
                <w:szCs w:val="24"/>
              </w:rPr>
              <w:t>。</w:t>
            </w:r>
          </w:p>
        </w:tc>
      </w:tr>
      <w:tr>
        <w:tblPrEx>
          <w:tblCellMar>
            <w:top w:w="0" w:type="dxa"/>
            <w:left w:w="108" w:type="dxa"/>
            <w:bottom w:w="0" w:type="dxa"/>
            <w:right w:w="108" w:type="dxa"/>
          </w:tblCellMar>
        </w:tblPrEx>
        <w:trPr>
          <w:trHeight w:val="765" w:hRule="atLeast"/>
          <w:jc w:val="center"/>
        </w:trPr>
        <w:tc>
          <w:tcPr>
            <w:tcW w:w="1908" w:type="dxa"/>
            <w:gridSpan w:val="2"/>
            <w:tcBorders>
              <w:top w:val="nil"/>
              <w:left w:val="single" w:color="auto" w:sz="4" w:space="0"/>
              <w:bottom w:val="single" w:color="000000" w:sz="4" w:space="0"/>
              <w:right w:val="single" w:color="auto" w:sz="4" w:space="0"/>
            </w:tcBorders>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合计</w:t>
            </w:r>
          </w:p>
        </w:tc>
        <w:tc>
          <w:tcPr>
            <w:tcW w:w="7692" w:type="dxa"/>
            <w:gridSpan w:val="2"/>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100</w:t>
            </w:r>
          </w:p>
        </w:tc>
      </w:tr>
      <w:tr>
        <w:tblPrEx>
          <w:tblCellMar>
            <w:top w:w="0" w:type="dxa"/>
            <w:left w:w="108" w:type="dxa"/>
            <w:bottom w:w="0" w:type="dxa"/>
            <w:right w:w="108" w:type="dxa"/>
          </w:tblCellMar>
        </w:tblPrEx>
        <w:trPr>
          <w:trHeight w:val="885" w:hRule="atLeast"/>
          <w:jc w:val="center"/>
        </w:trPr>
        <w:tc>
          <w:tcPr>
            <w:tcW w:w="70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_GB2312" w:hAnsi="仿宋" w:eastAsia="FangSong_GB2312" w:cs="宋体"/>
                <w:color w:val="000000"/>
                <w:kern w:val="0"/>
                <w:sz w:val="24"/>
                <w:szCs w:val="24"/>
              </w:rPr>
            </w:pPr>
            <w:r>
              <w:rPr>
                <w:rFonts w:hint="eastAsia" w:ascii="FangSong_GB2312" w:hAnsi="仿宋" w:eastAsia="FangSong_GB2312" w:cs="宋体"/>
                <w:color w:val="000000"/>
                <w:kern w:val="0"/>
                <w:sz w:val="24"/>
                <w:szCs w:val="24"/>
              </w:rPr>
              <w:t>教学服务</w:t>
            </w:r>
          </w:p>
        </w:tc>
        <w:tc>
          <w:tcPr>
            <w:tcW w:w="1203"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kern w:val="0"/>
                <w:sz w:val="24"/>
                <w:szCs w:val="24"/>
              </w:rPr>
            </w:pPr>
            <w:r>
              <w:rPr>
                <w:rFonts w:hint="eastAsia" w:ascii="FangSong_GB2312" w:hAnsi="仿宋" w:eastAsia="FangSong_GB2312" w:cs="宋体"/>
                <w:kern w:val="0"/>
                <w:sz w:val="24"/>
                <w:szCs w:val="24"/>
              </w:rPr>
              <w:t>承担院系教学服务</w:t>
            </w:r>
          </w:p>
        </w:tc>
        <w:tc>
          <w:tcPr>
            <w:tcW w:w="942" w:type="dxa"/>
            <w:tcBorders>
              <w:top w:val="nil"/>
              <w:left w:val="nil"/>
              <w:bottom w:val="single" w:color="auto" w:sz="4" w:space="0"/>
              <w:right w:val="single" w:color="auto" w:sz="4" w:space="0"/>
            </w:tcBorders>
            <w:shd w:val="clear" w:color="auto" w:fill="auto"/>
            <w:vAlign w:val="center"/>
          </w:tcPr>
          <w:p>
            <w:pPr>
              <w:widowControl/>
              <w:spacing w:line="500" w:lineRule="exact"/>
              <w:jc w:val="center"/>
              <w:rPr>
                <w:rFonts w:ascii="FangSong_GB2312" w:hAnsi="仿宋" w:eastAsia="FangSong_GB2312" w:cs="宋体"/>
                <w:kern w:val="0"/>
                <w:sz w:val="24"/>
                <w:szCs w:val="24"/>
              </w:rPr>
            </w:pPr>
            <w:r>
              <w:rPr>
                <w:rFonts w:hint="eastAsia" w:ascii="FangSong_GB2312" w:hAnsi="仿宋" w:eastAsia="FangSong_GB2312" w:cs="宋体"/>
                <w:b/>
                <w:bCs/>
                <w:kern w:val="0"/>
                <w:sz w:val="24"/>
                <w:szCs w:val="24"/>
              </w:rPr>
              <w:t>20（附加分）</w:t>
            </w:r>
          </w:p>
        </w:tc>
        <w:tc>
          <w:tcPr>
            <w:tcW w:w="6750" w:type="dxa"/>
            <w:tcBorders>
              <w:top w:val="nil"/>
              <w:left w:val="nil"/>
              <w:bottom w:val="single" w:color="auto" w:sz="4" w:space="0"/>
              <w:right w:val="single" w:color="auto" w:sz="4" w:space="0"/>
            </w:tcBorders>
            <w:shd w:val="clear" w:color="auto" w:fill="auto"/>
            <w:vAlign w:val="center"/>
          </w:tcPr>
          <w:p>
            <w:pPr>
              <w:widowControl/>
              <w:spacing w:line="500" w:lineRule="exact"/>
              <w:jc w:val="left"/>
              <w:rPr>
                <w:rFonts w:ascii="FangSong_GB2312" w:hAnsi="仿宋" w:eastAsia="FangSong_GB2312" w:cs="宋体"/>
                <w:kern w:val="0"/>
                <w:sz w:val="24"/>
                <w:szCs w:val="24"/>
              </w:rPr>
            </w:pPr>
            <w:r>
              <w:rPr>
                <w:rFonts w:hint="eastAsia" w:ascii="FangSong_GB2312" w:hAnsi="仿宋" w:eastAsia="FangSong_GB2312" w:cs="宋体"/>
                <w:kern w:val="0"/>
                <w:sz w:val="24"/>
                <w:szCs w:val="24"/>
              </w:rPr>
              <w:t>承担专业建设、课程建设、实验室建设、毕业设计/论文、学生竞赛/社团、教学咨询服务等事项，</w:t>
            </w:r>
            <w:r>
              <w:rPr>
                <w:rFonts w:hint="eastAsia" w:ascii="FangSong_GB2312" w:hAnsi="仿宋" w:eastAsia="FangSong_GB2312" w:cs="宋体"/>
                <w:b/>
                <w:kern w:val="0"/>
                <w:sz w:val="24"/>
                <w:szCs w:val="24"/>
              </w:rPr>
              <w:t>此分数由学院给出并认定。</w:t>
            </w:r>
          </w:p>
        </w:tc>
      </w:tr>
    </w:tbl>
    <w:p>
      <w:pPr>
        <w:jc w:val="center"/>
        <w:rPr>
          <w:rFonts w:ascii="FangSong_GB2312" w:eastAsia="FangSong_GB2312"/>
          <w:sz w:val="24"/>
          <w:szCs w:val="24"/>
        </w:rPr>
      </w:pPr>
    </w:p>
    <w:p>
      <w:pPr>
        <w:rPr>
          <w:rFonts w:ascii="FangSong_GB2312" w:eastAsia="FangSong_GB2312"/>
          <w:sz w:val="24"/>
          <w:szCs w:val="24"/>
        </w:rPr>
      </w:pPr>
    </w:p>
    <w:p>
      <w:pPr>
        <w:rPr>
          <w:rFonts w:ascii="FangSong_GB2312" w:hAnsi="宋体" w:eastAsia="FangSong_GB2312" w:cs="宋体"/>
          <w:kern w:val="0"/>
          <w:sz w:val="24"/>
          <w:szCs w:val="24"/>
        </w:rPr>
      </w:pPr>
    </w:p>
    <w:p>
      <w:pPr>
        <w:rPr>
          <w:rFonts w:ascii="FangSong_GB2312" w:hAnsi="宋体" w:eastAsia="FangSong_GB2312" w:cs="宋体"/>
          <w:kern w:val="0"/>
          <w:sz w:val="24"/>
          <w:szCs w:val="24"/>
        </w:rPr>
      </w:pPr>
    </w:p>
    <w:p>
      <w:pPr>
        <w:rPr>
          <w:rFonts w:ascii="FangSong_GB2312" w:hAnsi="宋体" w:eastAsia="FangSong_GB2312" w:cs="宋体"/>
          <w:kern w:val="0"/>
          <w:sz w:val="24"/>
          <w:szCs w:val="24"/>
        </w:rPr>
      </w:pPr>
    </w:p>
    <w:p>
      <w:pPr>
        <w:rPr>
          <w:rFonts w:ascii="FangSong_GB2312" w:hAnsi="宋体" w:eastAsia="FangSong_GB2312" w:cs="宋体"/>
          <w:kern w:val="0"/>
          <w:sz w:val="24"/>
          <w:szCs w:val="24"/>
        </w:rPr>
      </w:pPr>
    </w:p>
    <w:p>
      <w:pPr>
        <w:rPr>
          <w:rFonts w:ascii="FangSong_GB2312" w:hAnsi="仿宋" w:eastAsia="FangSong_GB2312" w:cs="宋体"/>
          <w:color w:val="000000"/>
          <w:kern w:val="0"/>
          <w:sz w:val="24"/>
          <w:szCs w:val="24"/>
        </w:rPr>
      </w:pPr>
      <w:r>
        <w:rPr>
          <w:rFonts w:hint="eastAsia" w:ascii="FangSong_GB2312" w:hAnsi="宋体" w:eastAsia="FangSong_GB2312" w:cs="宋体"/>
          <w:kern w:val="0"/>
          <w:sz w:val="24"/>
          <w:szCs w:val="24"/>
        </w:rPr>
        <w:t>附件5</w:t>
      </w:r>
    </w:p>
    <w:p>
      <w:pPr>
        <w:widowControl/>
        <w:spacing w:line="300" w:lineRule="exact"/>
        <w:jc w:val="center"/>
        <w:rPr>
          <w:rFonts w:ascii="FangSong_GB2312" w:hAnsi="仿宋" w:eastAsia="FangSong_GB2312" w:cs="宋体"/>
          <w:b/>
          <w:color w:val="000000"/>
          <w:kern w:val="0"/>
          <w:sz w:val="24"/>
          <w:szCs w:val="24"/>
        </w:rPr>
      </w:pPr>
      <w:r>
        <w:rPr>
          <w:rFonts w:hint="eastAsia" w:ascii="FangSong_GB2312" w:hAnsi="仿宋" w:eastAsia="FangSong_GB2312" w:cs="宋体"/>
          <w:b/>
          <w:color w:val="000000"/>
          <w:kern w:val="0"/>
          <w:sz w:val="24"/>
          <w:szCs w:val="24"/>
        </w:rPr>
        <w:t>优秀教学管理奖评选标准</w:t>
      </w:r>
    </w:p>
    <w:p>
      <w:pPr>
        <w:rPr>
          <w:rFonts w:ascii="FangSong_GB2312" w:hAnsi="宋体" w:eastAsia="FangSong_GB2312" w:cs="宋体"/>
          <w:kern w:val="0"/>
          <w:sz w:val="24"/>
          <w:szCs w:val="24"/>
        </w:rPr>
      </w:pPr>
    </w:p>
    <w:tbl>
      <w:tblPr>
        <w:tblStyle w:val="4"/>
        <w:tblW w:w="9315" w:type="dxa"/>
        <w:tblInd w:w="334" w:type="dxa"/>
        <w:tblLayout w:type="fixed"/>
        <w:tblCellMar>
          <w:top w:w="0" w:type="dxa"/>
          <w:left w:w="108" w:type="dxa"/>
          <w:bottom w:w="0" w:type="dxa"/>
          <w:right w:w="108" w:type="dxa"/>
        </w:tblCellMar>
      </w:tblPr>
      <w:tblGrid>
        <w:gridCol w:w="1845"/>
        <w:gridCol w:w="5705"/>
        <w:gridCol w:w="1765"/>
      </w:tblGrid>
      <w:tr>
        <w:tblPrEx>
          <w:tblCellMar>
            <w:top w:w="0" w:type="dxa"/>
            <w:left w:w="108" w:type="dxa"/>
            <w:bottom w:w="0" w:type="dxa"/>
            <w:right w:w="108" w:type="dxa"/>
          </w:tblCellMar>
        </w:tblPrEx>
        <w:trPr>
          <w:trHeight w:val="1100"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评价指标</w:t>
            </w:r>
          </w:p>
        </w:tc>
        <w:tc>
          <w:tcPr>
            <w:tcW w:w="5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Style w:val="9"/>
                <w:rFonts w:ascii="仿宋" w:hAnsi="仿宋" w:eastAsia="仿宋" w:cs="仿宋"/>
                <w:sz w:val="24"/>
                <w:szCs w:val="24"/>
                <w:lang w:bidi="ar"/>
              </w:rPr>
              <w:t>评价内容</w:t>
            </w:r>
          </w:p>
        </w:tc>
        <w:tc>
          <w:tcPr>
            <w:tcW w:w="1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Style w:val="9"/>
                <w:rFonts w:ascii="仿宋" w:hAnsi="仿宋" w:eastAsia="仿宋" w:cs="仿宋"/>
                <w:sz w:val="24"/>
                <w:szCs w:val="24"/>
                <w:lang w:bidi="ar"/>
              </w:rPr>
              <w:t>分值</w:t>
            </w:r>
          </w:p>
        </w:tc>
      </w:tr>
      <w:tr>
        <w:tblPrEx>
          <w:tblCellMar>
            <w:top w:w="0" w:type="dxa"/>
            <w:left w:w="108" w:type="dxa"/>
            <w:bottom w:w="0" w:type="dxa"/>
            <w:right w:w="108" w:type="dxa"/>
          </w:tblCellMar>
        </w:tblPrEx>
        <w:trPr>
          <w:trHeight w:val="2000"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所在学院评价</w:t>
            </w:r>
          </w:p>
        </w:tc>
        <w:tc>
          <w:tcPr>
            <w:tcW w:w="5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color w:val="000000"/>
                <w:sz w:val="24"/>
                <w:szCs w:val="24"/>
              </w:rPr>
            </w:pPr>
            <w:r>
              <w:rPr>
                <w:rFonts w:hint="eastAsia" w:ascii="仿宋" w:hAnsi="仿宋" w:eastAsia="仿宋" w:cs="仿宋"/>
                <w:color w:val="000000"/>
                <w:sz w:val="24"/>
                <w:szCs w:val="24"/>
              </w:rPr>
              <w:t>学院对申报人员根据工作态度、工作能力、工作业绩等方面打分。评价分数需呈现梯度。</w:t>
            </w:r>
            <w:r>
              <w:rPr>
                <w:rFonts w:hint="eastAsia" w:ascii="仿宋" w:hAnsi="仿宋" w:eastAsia="仿宋" w:cs="仿宋"/>
                <w:b/>
                <w:color w:val="000000"/>
                <w:kern w:val="0"/>
                <w:sz w:val="24"/>
                <w:szCs w:val="24"/>
              </w:rPr>
              <w:t>此分数由学院给出并认定。</w:t>
            </w:r>
          </w:p>
        </w:tc>
        <w:tc>
          <w:tcPr>
            <w:tcW w:w="1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w:t>
            </w:r>
          </w:p>
        </w:tc>
      </w:tr>
      <w:tr>
        <w:tblPrEx>
          <w:tblCellMar>
            <w:top w:w="0" w:type="dxa"/>
            <w:left w:w="108" w:type="dxa"/>
            <w:bottom w:w="0" w:type="dxa"/>
            <w:right w:w="108" w:type="dxa"/>
          </w:tblCellMar>
        </w:tblPrEx>
        <w:trPr>
          <w:trHeight w:val="1600"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Style w:val="10"/>
                <w:rFonts w:ascii="仿宋" w:hAnsi="仿宋" w:eastAsia="仿宋" w:cs="仿宋"/>
                <w:sz w:val="24"/>
                <w:szCs w:val="24"/>
                <w:lang w:bidi="ar"/>
              </w:rPr>
              <w:t>教学管理同行评价</w:t>
            </w:r>
          </w:p>
        </w:tc>
        <w:tc>
          <w:tcPr>
            <w:tcW w:w="5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color w:val="000000"/>
                <w:sz w:val="24"/>
                <w:szCs w:val="24"/>
              </w:rPr>
            </w:pPr>
            <w:r>
              <w:rPr>
                <w:rStyle w:val="10"/>
                <w:rFonts w:ascii="仿宋" w:hAnsi="仿宋" w:eastAsia="仿宋" w:cs="仿宋"/>
                <w:sz w:val="24"/>
                <w:szCs w:val="24"/>
                <w:lang w:bidi="ar"/>
              </w:rPr>
              <w:t>教学管理同行采取无记名方式对各学院推荐的人选进行打分。</w:t>
            </w:r>
          </w:p>
        </w:tc>
        <w:tc>
          <w:tcPr>
            <w:tcW w:w="1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w:t>
            </w:r>
          </w:p>
        </w:tc>
      </w:tr>
      <w:tr>
        <w:tblPrEx>
          <w:tblCellMar>
            <w:top w:w="0" w:type="dxa"/>
            <w:left w:w="108" w:type="dxa"/>
            <w:bottom w:w="0" w:type="dxa"/>
            <w:right w:w="108" w:type="dxa"/>
          </w:tblCellMar>
        </w:tblPrEx>
        <w:trPr>
          <w:trHeight w:val="1838"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工作相关部门评价</w:t>
            </w:r>
          </w:p>
        </w:tc>
        <w:tc>
          <w:tcPr>
            <w:tcW w:w="5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color w:val="000000"/>
                <w:sz w:val="24"/>
                <w:szCs w:val="24"/>
              </w:rPr>
            </w:pPr>
            <w:r>
              <w:rPr>
                <w:rFonts w:hint="eastAsia" w:ascii="仿宋" w:hAnsi="仿宋" w:eastAsia="仿宋" w:cs="仿宋"/>
                <w:color w:val="000000"/>
                <w:sz w:val="24"/>
                <w:szCs w:val="24"/>
              </w:rPr>
              <w:t>教务处等职能部门工作人员结合申报人员的岗位工作情况，</w:t>
            </w:r>
            <w:r>
              <w:rPr>
                <w:rStyle w:val="10"/>
                <w:rFonts w:ascii="仿宋" w:hAnsi="仿宋" w:eastAsia="仿宋" w:cs="仿宋"/>
                <w:sz w:val="24"/>
                <w:szCs w:val="24"/>
                <w:lang w:bidi="ar"/>
              </w:rPr>
              <w:t>采取无记名方式对各学院推荐的人选</w:t>
            </w:r>
            <w:r>
              <w:rPr>
                <w:rFonts w:hint="eastAsia" w:ascii="仿宋" w:hAnsi="仿宋" w:eastAsia="仿宋" w:cs="仿宋"/>
                <w:color w:val="000000"/>
                <w:sz w:val="24"/>
                <w:szCs w:val="24"/>
              </w:rPr>
              <w:t>从工作态度、工作能力和落实情况等方面进行综合打分。</w:t>
            </w:r>
          </w:p>
        </w:tc>
        <w:tc>
          <w:tcPr>
            <w:tcW w:w="1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15</w:t>
            </w:r>
          </w:p>
        </w:tc>
      </w:tr>
      <w:tr>
        <w:tblPrEx>
          <w:tblCellMar>
            <w:top w:w="0" w:type="dxa"/>
            <w:left w:w="108" w:type="dxa"/>
            <w:bottom w:w="0" w:type="dxa"/>
            <w:right w:w="108" w:type="dxa"/>
          </w:tblCellMar>
        </w:tblPrEx>
        <w:trPr>
          <w:trHeight w:val="1838"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工作汇报情况评价</w:t>
            </w:r>
          </w:p>
        </w:tc>
        <w:tc>
          <w:tcPr>
            <w:tcW w:w="5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color w:val="000000"/>
                <w:sz w:val="24"/>
                <w:szCs w:val="24"/>
              </w:rPr>
            </w:pPr>
            <w:r>
              <w:rPr>
                <w:rFonts w:hint="eastAsia" w:ascii="仿宋" w:hAnsi="仿宋" w:eastAsia="仿宋" w:cs="仿宋"/>
                <w:color w:val="000000"/>
                <w:sz w:val="24"/>
                <w:szCs w:val="24"/>
              </w:rPr>
              <w:t>申报人员根据工作情况开展5分钟的PPT汇报，相关部门领导对申报人员进行综合打分。</w:t>
            </w:r>
          </w:p>
        </w:tc>
        <w:tc>
          <w:tcPr>
            <w:tcW w:w="1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25</w:t>
            </w:r>
          </w:p>
        </w:tc>
      </w:tr>
    </w:tbl>
    <w:p>
      <w:pPr>
        <w:rPr>
          <w:rFonts w:ascii="FangSong_GB2312" w:eastAsia="FangSong_GB2312"/>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Song_GB2312">
    <w:altName w:val="仿宋"/>
    <w:panose1 w:val="02010609030101010101"/>
    <w:charset w:val="86"/>
    <w:family w:val="modern"/>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4728D"/>
    <w:multiLevelType w:val="singleLevel"/>
    <w:tmpl w:val="8CA4728D"/>
    <w:lvl w:ilvl="0" w:tentative="0">
      <w:start w:val="1"/>
      <w:numFmt w:val="chineseCounting"/>
      <w:suff w:val="nothing"/>
      <w:lvlText w:val="%1、"/>
      <w:lvlJc w:val="left"/>
      <w:rPr>
        <w:rFonts w:hint="eastAsia"/>
      </w:rPr>
    </w:lvl>
  </w:abstractNum>
  <w:abstractNum w:abstractNumId="1">
    <w:nsid w:val="2252A1F9"/>
    <w:multiLevelType w:val="singleLevel"/>
    <w:tmpl w:val="2252A1F9"/>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fullPage"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0NWVlODVkMWU2YWEyNDM3ZTNmN2EwMjlhZDJhYTAifQ=="/>
  </w:docVars>
  <w:rsids>
    <w:rsidRoot w:val="007143F4"/>
    <w:rsid w:val="006E55F8"/>
    <w:rsid w:val="007143F4"/>
    <w:rsid w:val="00B9464E"/>
    <w:rsid w:val="0D6E3A97"/>
    <w:rsid w:val="28D72120"/>
    <w:rsid w:val="69060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character" w:customStyle="1" w:styleId="9">
    <w:name w:val="font11"/>
    <w:basedOn w:val="6"/>
    <w:qFormat/>
    <w:uiPriority w:val="0"/>
    <w:rPr>
      <w:rFonts w:hint="eastAsia" w:ascii="宋体" w:hAnsi="宋体" w:eastAsia="宋体" w:cs="宋体"/>
      <w:b/>
      <w:bCs/>
      <w:color w:val="000000"/>
      <w:sz w:val="22"/>
      <w:szCs w:val="22"/>
      <w:u w:val="none"/>
    </w:rPr>
  </w:style>
  <w:style w:type="character" w:customStyle="1" w:styleId="10">
    <w:name w:val="font21"/>
    <w:basedOn w:val="6"/>
    <w:qFormat/>
    <w:uiPriority w:val="0"/>
    <w:rPr>
      <w:rFonts w:hint="eastAsia" w:ascii="宋体" w:hAnsi="宋体" w:eastAsia="宋体" w:cs="宋体"/>
      <w:color w:val="000000"/>
      <w:sz w:val="22"/>
      <w:szCs w:val="22"/>
      <w:u w:val="none"/>
    </w:rPr>
  </w:style>
  <w:style w:type="character" w:customStyle="1" w:styleId="11">
    <w:name w:val="font31"/>
    <w:basedOn w:val="6"/>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653</Words>
  <Characters>3728</Characters>
  <Lines>31</Lines>
  <Paragraphs>8</Paragraphs>
  <TotalTime>1</TotalTime>
  <ScaleCrop>false</ScaleCrop>
  <LinksUpToDate>false</LinksUpToDate>
  <CharactersWithSpaces>4373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2023-12-01T06:40:00Z</dcterms:created>
  <dc:creator>juvg</dc:creator>
  <cp:lastModifiedBy>WPS_1660316827</cp:lastModifiedBy>
  <cp:lastPrinted>2019-12-04T10:24:00Z</cp:lastPrinted>
  <dcterms:modified xsi:type="dcterms:W3CDTF">2023-12-04T05:54:28Z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DCFAC27F5F254BBD96DF9802900066F5_13</vt:lpwstr>
  </property>
</Properties>
</file>